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E2" w:rsidRDefault="004F2EE2" w:rsidP="004F2EE2">
      <w:pPr>
        <w:jc w:val="center"/>
        <w:rPr>
          <w:b/>
          <w:sz w:val="22"/>
          <w:szCs w:val="22"/>
          <w:lang w:val="es-ES"/>
        </w:rPr>
      </w:pPr>
      <w:r w:rsidRPr="00F84D4B">
        <w:rPr>
          <w:b/>
          <w:sz w:val="22"/>
          <w:szCs w:val="22"/>
          <w:lang w:val="es-ES"/>
        </w:rPr>
        <w:t xml:space="preserve">MEMORIA DESCRIPTIVA </w:t>
      </w:r>
      <w:r w:rsidR="00DC39AA">
        <w:rPr>
          <w:b/>
          <w:sz w:val="22"/>
          <w:szCs w:val="22"/>
          <w:lang w:val="es-ES"/>
        </w:rPr>
        <w:t>DE</w:t>
      </w:r>
      <w:r w:rsidR="00CD0FBF">
        <w:rPr>
          <w:b/>
          <w:sz w:val="22"/>
          <w:szCs w:val="22"/>
          <w:lang w:val="es-ES"/>
        </w:rPr>
        <w:t>L</w:t>
      </w:r>
      <w:bookmarkStart w:id="0" w:name="_GoBack"/>
      <w:bookmarkEnd w:id="0"/>
      <w:r w:rsidR="00DC39AA">
        <w:rPr>
          <w:b/>
          <w:sz w:val="22"/>
          <w:szCs w:val="22"/>
          <w:lang w:val="es-ES"/>
        </w:rPr>
        <w:t xml:space="preserve"> </w:t>
      </w:r>
      <w:r w:rsidR="00857581">
        <w:rPr>
          <w:b/>
          <w:sz w:val="22"/>
          <w:szCs w:val="22"/>
          <w:lang w:val="es-ES"/>
        </w:rPr>
        <w:t>PLANEAMIENTO INTEGRAL</w:t>
      </w:r>
    </w:p>
    <w:p w:rsidR="00F84D4B" w:rsidRDefault="00F84D4B" w:rsidP="00F84D4B"/>
    <w:p w:rsidR="00177AC4" w:rsidRPr="00177AC4" w:rsidRDefault="00177AC4" w:rsidP="00177AC4">
      <w:pPr>
        <w:spacing w:after="200" w:line="276" w:lineRule="auto"/>
        <w:ind w:firstLine="708"/>
        <w:rPr>
          <w:rFonts w:ascii="Calibri" w:eastAsia="Calibri" w:hAnsi="Calibri"/>
          <w:sz w:val="22"/>
          <w:szCs w:val="22"/>
          <w:lang w:eastAsia="en-US"/>
        </w:rPr>
      </w:pPr>
      <w:r w:rsidRPr="00177AC4">
        <w:rPr>
          <w:rFonts w:ascii="Calibri" w:eastAsia="Calibri" w:hAnsi="Calibri"/>
          <w:b/>
          <w:sz w:val="22"/>
          <w:szCs w:val="22"/>
          <w:lang w:eastAsia="en-US"/>
        </w:rPr>
        <w:t>PROPIETARIO</w:t>
      </w:r>
      <w:r w:rsidRPr="00177AC4">
        <w:rPr>
          <w:rFonts w:ascii="Calibri" w:eastAsia="Calibri" w:hAnsi="Calibri"/>
          <w:sz w:val="22"/>
          <w:szCs w:val="22"/>
          <w:lang w:eastAsia="en-US"/>
        </w:rPr>
        <w:tab/>
      </w:r>
      <w:r w:rsidRPr="00177AC4">
        <w:rPr>
          <w:rFonts w:ascii="Calibri" w:eastAsia="Calibri" w:hAnsi="Calibri"/>
          <w:sz w:val="22"/>
          <w:szCs w:val="22"/>
          <w:lang w:eastAsia="en-US"/>
        </w:rPr>
        <w:tab/>
      </w:r>
      <w:r w:rsidRPr="00177AC4">
        <w:rPr>
          <w:rFonts w:ascii="Calibri" w:eastAsia="Calibri" w:hAnsi="Calibri"/>
          <w:sz w:val="22"/>
          <w:szCs w:val="22"/>
          <w:lang w:eastAsia="en-US"/>
        </w:rPr>
        <w:tab/>
      </w:r>
      <w:r w:rsidRPr="00177AC4">
        <w:rPr>
          <w:rFonts w:ascii="Calibri" w:eastAsia="Calibri" w:hAnsi="Calibri"/>
          <w:sz w:val="22"/>
          <w:szCs w:val="22"/>
          <w:lang w:eastAsia="en-US"/>
        </w:rPr>
        <w:tab/>
        <w:t>:</w:t>
      </w:r>
      <w:r w:rsidRPr="00177AC4">
        <w:rPr>
          <w:rFonts w:ascii="Calibri" w:eastAsia="Calibri" w:hAnsi="Calibri"/>
          <w:sz w:val="22"/>
          <w:szCs w:val="22"/>
          <w:lang w:eastAsia="en-US"/>
        </w:rPr>
        <w:tab/>
      </w:r>
      <w:r w:rsidR="005D493B">
        <w:rPr>
          <w:rFonts w:ascii="Calibri" w:eastAsia="Calibri" w:hAnsi="Calibri"/>
          <w:sz w:val="22"/>
          <w:szCs w:val="22"/>
          <w:lang w:eastAsia="en-US"/>
        </w:rPr>
        <w:t>ESTELA RUIZ AVILA DE HEREDIA</w:t>
      </w:r>
    </w:p>
    <w:p w:rsidR="00177AC4" w:rsidRPr="00177AC4" w:rsidRDefault="00177AC4" w:rsidP="00177AC4">
      <w:pPr>
        <w:spacing w:after="200" w:line="276" w:lineRule="auto"/>
        <w:ind w:firstLine="708"/>
        <w:rPr>
          <w:rFonts w:ascii="Calibri" w:eastAsia="Calibri" w:hAnsi="Calibri"/>
          <w:sz w:val="22"/>
          <w:szCs w:val="22"/>
          <w:lang w:eastAsia="en-US"/>
        </w:rPr>
      </w:pPr>
      <w:r w:rsidRPr="00177AC4">
        <w:rPr>
          <w:rFonts w:ascii="Calibri" w:eastAsia="Calibri" w:hAnsi="Calibri"/>
          <w:b/>
          <w:sz w:val="22"/>
          <w:szCs w:val="22"/>
          <w:lang w:eastAsia="en-US"/>
        </w:rPr>
        <w:t>UBICACIÓN</w:t>
      </w:r>
      <w:r w:rsidRPr="00177AC4">
        <w:rPr>
          <w:rFonts w:ascii="Calibri" w:eastAsia="Calibri" w:hAnsi="Calibri"/>
          <w:b/>
          <w:sz w:val="22"/>
          <w:szCs w:val="22"/>
          <w:lang w:eastAsia="en-US"/>
        </w:rPr>
        <w:tab/>
      </w:r>
      <w:r w:rsidRPr="00177AC4">
        <w:rPr>
          <w:rFonts w:ascii="Calibri" w:eastAsia="Calibri" w:hAnsi="Calibri"/>
          <w:b/>
          <w:sz w:val="22"/>
          <w:szCs w:val="22"/>
          <w:lang w:eastAsia="en-US"/>
        </w:rPr>
        <w:tab/>
        <w:t xml:space="preserve"> </w:t>
      </w:r>
      <w:r w:rsidRPr="00177AC4">
        <w:rPr>
          <w:rFonts w:ascii="Calibri" w:eastAsia="Calibri" w:hAnsi="Calibri"/>
          <w:sz w:val="22"/>
          <w:szCs w:val="22"/>
          <w:lang w:eastAsia="en-US"/>
        </w:rPr>
        <w:t>REGION</w:t>
      </w:r>
      <w:r w:rsidRPr="00177AC4">
        <w:rPr>
          <w:rFonts w:ascii="Calibri" w:eastAsia="Calibri" w:hAnsi="Calibri"/>
          <w:sz w:val="22"/>
          <w:szCs w:val="22"/>
          <w:lang w:eastAsia="en-US"/>
        </w:rPr>
        <w:tab/>
        <w:t>:</w:t>
      </w:r>
      <w:r w:rsidRPr="00177AC4">
        <w:rPr>
          <w:rFonts w:ascii="Calibri" w:eastAsia="Calibri" w:hAnsi="Calibri"/>
          <w:sz w:val="22"/>
          <w:szCs w:val="22"/>
          <w:lang w:eastAsia="en-US"/>
        </w:rPr>
        <w:tab/>
        <w:t>LIMA PROVINCIAS</w:t>
      </w:r>
    </w:p>
    <w:p w:rsidR="00177AC4" w:rsidRPr="00177AC4" w:rsidRDefault="00177AC4" w:rsidP="00177AC4">
      <w:pPr>
        <w:spacing w:after="200" w:line="276" w:lineRule="auto"/>
        <w:rPr>
          <w:rFonts w:ascii="Calibri" w:eastAsia="Calibri" w:hAnsi="Calibri"/>
          <w:sz w:val="22"/>
          <w:szCs w:val="22"/>
          <w:lang w:eastAsia="en-US"/>
        </w:rPr>
      </w:pPr>
      <w:r w:rsidRPr="00177AC4">
        <w:rPr>
          <w:rFonts w:ascii="Calibri" w:eastAsia="Calibri" w:hAnsi="Calibri"/>
          <w:sz w:val="22"/>
          <w:szCs w:val="22"/>
          <w:lang w:eastAsia="en-US"/>
        </w:rPr>
        <w:tab/>
      </w:r>
      <w:r w:rsidRPr="00177AC4">
        <w:rPr>
          <w:rFonts w:ascii="Calibri" w:eastAsia="Calibri" w:hAnsi="Calibri"/>
          <w:sz w:val="22"/>
          <w:szCs w:val="22"/>
          <w:lang w:eastAsia="en-US"/>
        </w:rPr>
        <w:tab/>
      </w:r>
      <w:r w:rsidRPr="00177AC4">
        <w:rPr>
          <w:rFonts w:ascii="Calibri" w:eastAsia="Calibri" w:hAnsi="Calibri"/>
          <w:sz w:val="22"/>
          <w:szCs w:val="22"/>
          <w:lang w:eastAsia="en-US"/>
        </w:rPr>
        <w:tab/>
      </w:r>
      <w:r w:rsidRPr="00177AC4">
        <w:rPr>
          <w:rFonts w:ascii="Calibri" w:eastAsia="Calibri" w:hAnsi="Calibri"/>
          <w:sz w:val="22"/>
          <w:szCs w:val="22"/>
          <w:lang w:eastAsia="en-US"/>
        </w:rPr>
        <w:tab/>
        <w:t>PROVINCIA</w:t>
      </w:r>
      <w:r w:rsidRPr="00177AC4">
        <w:rPr>
          <w:rFonts w:ascii="Calibri" w:eastAsia="Calibri" w:hAnsi="Calibri"/>
          <w:sz w:val="22"/>
          <w:szCs w:val="22"/>
          <w:lang w:eastAsia="en-US"/>
        </w:rPr>
        <w:tab/>
        <w:t>:</w:t>
      </w:r>
      <w:r w:rsidRPr="00177AC4">
        <w:rPr>
          <w:rFonts w:ascii="Calibri" w:eastAsia="Calibri" w:hAnsi="Calibri"/>
          <w:sz w:val="22"/>
          <w:szCs w:val="22"/>
          <w:lang w:eastAsia="en-US"/>
        </w:rPr>
        <w:tab/>
        <w:t>CAÑETE</w:t>
      </w:r>
    </w:p>
    <w:p w:rsidR="00177AC4" w:rsidRPr="00177AC4" w:rsidRDefault="00177AC4" w:rsidP="00177AC4">
      <w:pPr>
        <w:spacing w:after="200" w:line="276" w:lineRule="auto"/>
        <w:rPr>
          <w:rFonts w:ascii="Calibri" w:eastAsia="Calibri" w:hAnsi="Calibri"/>
          <w:sz w:val="22"/>
          <w:szCs w:val="22"/>
          <w:lang w:eastAsia="en-US"/>
        </w:rPr>
      </w:pPr>
      <w:r w:rsidRPr="00177AC4">
        <w:rPr>
          <w:rFonts w:ascii="Calibri" w:eastAsia="Calibri" w:hAnsi="Calibri"/>
          <w:sz w:val="22"/>
          <w:szCs w:val="22"/>
          <w:lang w:eastAsia="en-US"/>
        </w:rPr>
        <w:tab/>
      </w:r>
      <w:r w:rsidRPr="00177AC4">
        <w:rPr>
          <w:rFonts w:ascii="Calibri" w:eastAsia="Calibri" w:hAnsi="Calibri"/>
          <w:sz w:val="22"/>
          <w:szCs w:val="22"/>
          <w:lang w:eastAsia="en-US"/>
        </w:rPr>
        <w:tab/>
      </w:r>
      <w:r w:rsidRPr="00177AC4">
        <w:rPr>
          <w:rFonts w:ascii="Calibri" w:eastAsia="Calibri" w:hAnsi="Calibri"/>
          <w:sz w:val="22"/>
          <w:szCs w:val="22"/>
          <w:lang w:eastAsia="en-US"/>
        </w:rPr>
        <w:tab/>
      </w:r>
      <w:r w:rsidRPr="00177AC4">
        <w:rPr>
          <w:rFonts w:ascii="Calibri" w:eastAsia="Calibri" w:hAnsi="Calibri"/>
          <w:sz w:val="22"/>
          <w:szCs w:val="22"/>
          <w:lang w:eastAsia="en-US"/>
        </w:rPr>
        <w:tab/>
        <w:t>DISTRITO</w:t>
      </w:r>
      <w:r w:rsidRPr="00177AC4">
        <w:rPr>
          <w:rFonts w:ascii="Calibri" w:eastAsia="Calibri" w:hAnsi="Calibri"/>
          <w:sz w:val="22"/>
          <w:szCs w:val="22"/>
          <w:lang w:eastAsia="en-US"/>
        </w:rPr>
        <w:tab/>
        <w:t>:</w:t>
      </w:r>
      <w:r w:rsidRPr="00177AC4">
        <w:rPr>
          <w:rFonts w:ascii="Calibri" w:eastAsia="Calibri" w:hAnsi="Calibri"/>
          <w:sz w:val="22"/>
          <w:szCs w:val="22"/>
          <w:lang w:eastAsia="en-US"/>
        </w:rPr>
        <w:tab/>
        <w:t>CHILCA</w:t>
      </w:r>
    </w:p>
    <w:p w:rsidR="00177AC4" w:rsidRPr="00177AC4" w:rsidRDefault="00177AC4" w:rsidP="00177AC4">
      <w:pPr>
        <w:spacing w:after="200" w:line="276" w:lineRule="auto"/>
        <w:ind w:left="4962" w:hanging="2124"/>
        <w:rPr>
          <w:rFonts w:ascii="Calibri" w:eastAsia="Calibri" w:hAnsi="Calibri"/>
          <w:sz w:val="22"/>
          <w:szCs w:val="22"/>
          <w:lang w:eastAsia="en-US"/>
        </w:rPr>
      </w:pPr>
      <w:r w:rsidRPr="00177AC4">
        <w:rPr>
          <w:rFonts w:ascii="Calibri" w:eastAsia="Calibri" w:hAnsi="Calibri"/>
          <w:sz w:val="22"/>
          <w:szCs w:val="22"/>
          <w:lang w:eastAsia="en-US"/>
        </w:rPr>
        <w:t>PREDIO               :</w:t>
      </w:r>
      <w:r w:rsidRPr="00177AC4">
        <w:rPr>
          <w:rFonts w:ascii="Calibri" w:eastAsia="Calibri" w:hAnsi="Calibri"/>
          <w:sz w:val="22"/>
          <w:szCs w:val="22"/>
          <w:lang w:eastAsia="en-US"/>
        </w:rPr>
        <w:tab/>
        <w:t xml:space="preserve">Lote </w:t>
      </w:r>
      <w:r w:rsidR="005D493B">
        <w:rPr>
          <w:rFonts w:ascii="Calibri" w:eastAsia="Calibri" w:hAnsi="Calibri"/>
          <w:sz w:val="22"/>
          <w:szCs w:val="22"/>
          <w:lang w:eastAsia="en-US"/>
        </w:rPr>
        <w:t>3</w:t>
      </w:r>
      <w:r w:rsidRPr="00177AC4">
        <w:rPr>
          <w:rFonts w:ascii="Calibri" w:eastAsia="Calibri" w:hAnsi="Calibri"/>
          <w:sz w:val="22"/>
          <w:szCs w:val="22"/>
          <w:lang w:eastAsia="en-US"/>
        </w:rPr>
        <w:t xml:space="preserve"> PAMPAS Y HOYADAS DE </w:t>
      </w:r>
      <w:r w:rsidRPr="00177AC4">
        <w:rPr>
          <w:rFonts w:ascii="Calibri" w:eastAsia="Calibri" w:hAnsi="Calibri"/>
          <w:sz w:val="22"/>
          <w:szCs w:val="22"/>
          <w:lang w:eastAsia="en-US"/>
        </w:rPr>
        <w:tab/>
        <w:t xml:space="preserve">                   CALANGUILLO (ALTURA KM. 67 MARGEN IZQUIERDO DE LA PANAMERICANA SUR)</w:t>
      </w:r>
    </w:p>
    <w:p w:rsidR="00177AC4" w:rsidRPr="00177AC4" w:rsidRDefault="00177AC4" w:rsidP="00177AC4">
      <w:pPr>
        <w:spacing w:after="200" w:line="276" w:lineRule="auto"/>
        <w:ind w:left="4239" w:hanging="1407"/>
        <w:rPr>
          <w:rFonts w:ascii="Calibri" w:eastAsia="Calibri" w:hAnsi="Calibri"/>
          <w:sz w:val="22"/>
          <w:szCs w:val="22"/>
          <w:lang w:eastAsia="en-US"/>
        </w:rPr>
      </w:pPr>
      <w:r w:rsidRPr="00177AC4">
        <w:rPr>
          <w:rFonts w:ascii="Calibri" w:eastAsia="Calibri" w:hAnsi="Calibri"/>
          <w:sz w:val="22"/>
          <w:szCs w:val="22"/>
          <w:lang w:eastAsia="en-US"/>
        </w:rPr>
        <w:t>AREA</w:t>
      </w:r>
      <w:r w:rsidRPr="00177AC4">
        <w:rPr>
          <w:rFonts w:ascii="Calibri" w:eastAsia="Calibri" w:hAnsi="Calibri"/>
          <w:sz w:val="22"/>
          <w:szCs w:val="22"/>
          <w:lang w:eastAsia="en-US"/>
        </w:rPr>
        <w:tab/>
        <w:t xml:space="preserve">:           </w:t>
      </w:r>
      <w:r w:rsidRPr="00177AC4">
        <w:rPr>
          <w:rFonts w:ascii="Calibri" w:eastAsia="Calibri" w:hAnsi="Calibri"/>
          <w:sz w:val="22"/>
          <w:szCs w:val="22"/>
          <w:lang w:eastAsia="en-US"/>
        </w:rPr>
        <w:tab/>
        <w:t>1</w:t>
      </w:r>
      <w:r w:rsidR="0050595F">
        <w:rPr>
          <w:rFonts w:ascii="Calibri" w:eastAsia="Calibri" w:hAnsi="Calibri"/>
          <w:sz w:val="22"/>
          <w:szCs w:val="22"/>
          <w:lang w:eastAsia="en-US"/>
        </w:rPr>
        <w:t>14</w:t>
      </w:r>
      <w:r w:rsidRPr="00177AC4">
        <w:rPr>
          <w:rFonts w:ascii="Calibri" w:eastAsia="Calibri" w:hAnsi="Calibri"/>
          <w:sz w:val="22"/>
          <w:szCs w:val="22"/>
          <w:lang w:eastAsia="en-US"/>
        </w:rPr>
        <w:t>,</w:t>
      </w:r>
      <w:r w:rsidR="0050595F">
        <w:rPr>
          <w:rFonts w:ascii="Calibri" w:eastAsia="Calibri" w:hAnsi="Calibri"/>
          <w:sz w:val="22"/>
          <w:szCs w:val="22"/>
          <w:lang w:eastAsia="en-US"/>
        </w:rPr>
        <w:t>988</w:t>
      </w:r>
      <w:r w:rsidRPr="00177AC4">
        <w:rPr>
          <w:rFonts w:ascii="Calibri" w:eastAsia="Calibri" w:hAnsi="Calibri"/>
          <w:sz w:val="22"/>
          <w:szCs w:val="22"/>
          <w:lang w:eastAsia="en-US"/>
        </w:rPr>
        <w:t>.00 m2=1</w:t>
      </w:r>
      <w:r w:rsidR="0050595F">
        <w:rPr>
          <w:rFonts w:ascii="Calibri" w:eastAsia="Calibri" w:hAnsi="Calibri"/>
          <w:sz w:val="22"/>
          <w:szCs w:val="22"/>
          <w:lang w:eastAsia="en-US"/>
        </w:rPr>
        <w:t>1</w:t>
      </w:r>
      <w:r w:rsidRPr="00177AC4">
        <w:rPr>
          <w:rFonts w:ascii="Calibri" w:eastAsia="Calibri" w:hAnsi="Calibri"/>
          <w:sz w:val="22"/>
          <w:szCs w:val="22"/>
          <w:lang w:eastAsia="en-US"/>
        </w:rPr>
        <w:t>.</w:t>
      </w:r>
      <w:r w:rsidR="0050595F">
        <w:rPr>
          <w:rFonts w:ascii="Calibri" w:eastAsia="Calibri" w:hAnsi="Calibri"/>
          <w:sz w:val="22"/>
          <w:szCs w:val="22"/>
          <w:lang w:eastAsia="en-US"/>
        </w:rPr>
        <w:t>4988</w:t>
      </w:r>
      <w:r w:rsidRPr="00177AC4">
        <w:rPr>
          <w:rFonts w:ascii="Calibri" w:eastAsia="Calibri" w:hAnsi="Calibri"/>
          <w:sz w:val="22"/>
          <w:szCs w:val="22"/>
          <w:lang w:eastAsia="en-US"/>
        </w:rPr>
        <w:t xml:space="preserve"> HECTAREAS</w:t>
      </w:r>
    </w:p>
    <w:p w:rsidR="00177AC4" w:rsidRPr="00177AC4" w:rsidRDefault="00177AC4" w:rsidP="00177AC4">
      <w:pPr>
        <w:spacing w:after="200" w:line="276" w:lineRule="auto"/>
        <w:ind w:left="4239" w:hanging="1407"/>
        <w:rPr>
          <w:rFonts w:ascii="Calibri" w:eastAsia="Calibri" w:hAnsi="Calibri"/>
          <w:sz w:val="22"/>
          <w:szCs w:val="22"/>
          <w:lang w:eastAsia="en-US"/>
        </w:rPr>
      </w:pPr>
      <w:r w:rsidRPr="00177AC4">
        <w:rPr>
          <w:rFonts w:ascii="Calibri" w:eastAsia="Calibri" w:hAnsi="Calibri"/>
          <w:sz w:val="22"/>
          <w:szCs w:val="22"/>
          <w:lang w:eastAsia="en-US"/>
        </w:rPr>
        <w:t>PERIMETRO</w:t>
      </w:r>
      <w:r w:rsidRPr="00177AC4">
        <w:rPr>
          <w:rFonts w:ascii="Calibri" w:eastAsia="Calibri" w:hAnsi="Calibri"/>
          <w:sz w:val="22"/>
          <w:szCs w:val="22"/>
          <w:lang w:eastAsia="en-US"/>
        </w:rPr>
        <w:tab/>
        <w:t>:</w:t>
      </w:r>
      <w:r w:rsidRPr="00177AC4">
        <w:rPr>
          <w:rFonts w:ascii="Calibri" w:eastAsia="Calibri" w:hAnsi="Calibri"/>
          <w:sz w:val="22"/>
          <w:szCs w:val="22"/>
          <w:lang w:eastAsia="en-US"/>
        </w:rPr>
        <w:tab/>
      </w:r>
      <w:r w:rsidR="0050595F">
        <w:rPr>
          <w:rFonts w:ascii="Calibri" w:eastAsia="Calibri" w:hAnsi="Calibri"/>
          <w:sz w:val="22"/>
          <w:szCs w:val="22"/>
          <w:lang w:eastAsia="en-US"/>
        </w:rPr>
        <w:t>1</w:t>
      </w:r>
      <w:r w:rsidRPr="00177AC4">
        <w:rPr>
          <w:rFonts w:ascii="Calibri" w:eastAsia="Calibri" w:hAnsi="Calibri"/>
          <w:sz w:val="22"/>
          <w:szCs w:val="22"/>
          <w:lang w:eastAsia="en-US"/>
        </w:rPr>
        <w:t>,</w:t>
      </w:r>
      <w:r w:rsidR="0050595F">
        <w:rPr>
          <w:rFonts w:ascii="Calibri" w:eastAsia="Calibri" w:hAnsi="Calibri"/>
          <w:sz w:val="22"/>
          <w:szCs w:val="22"/>
          <w:lang w:eastAsia="en-US"/>
        </w:rPr>
        <w:t>843</w:t>
      </w:r>
      <w:r w:rsidRPr="00177AC4">
        <w:rPr>
          <w:rFonts w:ascii="Calibri" w:eastAsia="Calibri" w:hAnsi="Calibri"/>
          <w:sz w:val="22"/>
          <w:szCs w:val="22"/>
          <w:lang w:eastAsia="en-US"/>
        </w:rPr>
        <w:t>.10 m.</w:t>
      </w:r>
    </w:p>
    <w:p w:rsidR="00480575" w:rsidRDefault="00480575" w:rsidP="00F84D4B"/>
    <w:p w:rsidR="00F84D4B" w:rsidRDefault="00F84D4B" w:rsidP="00F84D4B">
      <w:pPr>
        <w:ind w:firstLine="708"/>
        <w:jc w:val="both"/>
        <w:rPr>
          <w:rFonts w:cs="Arial"/>
          <w:bCs/>
        </w:rPr>
      </w:pPr>
    </w:p>
    <w:p w:rsidR="000841B7" w:rsidRDefault="001C7B0F" w:rsidP="001C7B0F">
      <w:pPr>
        <w:tabs>
          <w:tab w:val="left" w:pos="360"/>
        </w:tabs>
        <w:jc w:val="both"/>
        <w:rPr>
          <w:rFonts w:cs="Arial"/>
          <w:b/>
          <w:bCs/>
          <w:sz w:val="22"/>
        </w:rPr>
      </w:pPr>
      <w:r>
        <w:rPr>
          <w:rFonts w:cs="Arial"/>
          <w:b/>
          <w:bCs/>
          <w:sz w:val="22"/>
        </w:rPr>
        <w:t>I.</w:t>
      </w:r>
      <w:r w:rsidR="00DC39AA">
        <w:rPr>
          <w:rFonts w:cs="Arial"/>
          <w:b/>
          <w:bCs/>
          <w:sz w:val="22"/>
        </w:rPr>
        <w:t>- ANTECEDENTES</w:t>
      </w:r>
    </w:p>
    <w:p w:rsidR="003D57CE" w:rsidRPr="000841B7" w:rsidRDefault="003D57CE" w:rsidP="006213AD">
      <w:pPr>
        <w:tabs>
          <w:tab w:val="left" w:pos="360"/>
        </w:tabs>
        <w:ind w:left="360"/>
        <w:jc w:val="both"/>
        <w:rPr>
          <w:rFonts w:cs="Arial"/>
          <w:b/>
          <w:bCs/>
          <w:sz w:val="22"/>
        </w:rPr>
      </w:pPr>
    </w:p>
    <w:p w:rsidR="008328D9" w:rsidRDefault="008328D9" w:rsidP="000841B7">
      <w:pPr>
        <w:tabs>
          <w:tab w:val="left" w:pos="360"/>
        </w:tabs>
        <w:jc w:val="both"/>
        <w:rPr>
          <w:rFonts w:cs="Arial"/>
          <w:bCs/>
          <w:sz w:val="22"/>
        </w:rPr>
      </w:pPr>
    </w:p>
    <w:p w:rsidR="008328D9" w:rsidRPr="008328D9" w:rsidRDefault="008328D9" w:rsidP="008328D9">
      <w:pPr>
        <w:tabs>
          <w:tab w:val="left" w:pos="360"/>
        </w:tabs>
        <w:jc w:val="both"/>
        <w:rPr>
          <w:rFonts w:cs="Arial"/>
          <w:bCs/>
          <w:sz w:val="22"/>
        </w:rPr>
      </w:pPr>
      <w:r w:rsidRPr="008328D9">
        <w:rPr>
          <w:rFonts w:cs="Arial"/>
          <w:bCs/>
          <w:sz w:val="22"/>
        </w:rPr>
        <w:t xml:space="preserve">Con fecha 15-04-2008 ante Notaria Alfredo Paino Scarpati se eleva a Escritura Publica la Minuta de compra venta de fecha 08-03-2007, de un terreno de 25.50 Ha. que forma parte del denominado predio Pampas y Hoyada de Calanguillo a la altura del Km. 67 de la Panamericana Sur en el distrito de Chilca, que otorga la Sucesión de José Rodríguez Arnaiz a favor de Irradia S.R.L.  </w:t>
      </w:r>
    </w:p>
    <w:p w:rsidR="008328D9" w:rsidRPr="008328D9" w:rsidRDefault="008328D9" w:rsidP="008328D9">
      <w:pPr>
        <w:tabs>
          <w:tab w:val="left" w:pos="360"/>
        </w:tabs>
        <w:jc w:val="both"/>
        <w:rPr>
          <w:rFonts w:cs="Arial"/>
          <w:bCs/>
          <w:sz w:val="22"/>
        </w:rPr>
      </w:pPr>
    </w:p>
    <w:p w:rsidR="008328D9" w:rsidRPr="008328D9" w:rsidRDefault="008328D9" w:rsidP="008328D9">
      <w:pPr>
        <w:tabs>
          <w:tab w:val="left" w:pos="360"/>
        </w:tabs>
        <w:jc w:val="both"/>
        <w:rPr>
          <w:rFonts w:cs="Arial"/>
          <w:bCs/>
          <w:sz w:val="22"/>
        </w:rPr>
      </w:pPr>
      <w:r w:rsidRPr="008328D9">
        <w:rPr>
          <w:rFonts w:cs="Arial"/>
          <w:bCs/>
          <w:sz w:val="22"/>
        </w:rPr>
        <w:t>Con fecha 19 de marzo de 2008 la Municipalidad Provincial de Cañete expide la Resolución de Gerencia N° 165-2008-GODUR-MPC que aprueba el certificado de Compatibilidad de uso N° 003-2008-MPC a nombre de Irradia S.R.L. mediante el cual certifica que el uso del suelo del predio adquirido por Irradia S.R.L. de la Sucesión de José rodríguez Arnaiz (señalado en los considerandos de la Resolución de gerencia N° 165-2008) es compatible para actividades como la Planta Criogénica de gas.</w:t>
      </w:r>
    </w:p>
    <w:p w:rsidR="008328D9" w:rsidRPr="008328D9" w:rsidRDefault="008328D9" w:rsidP="008328D9">
      <w:pPr>
        <w:tabs>
          <w:tab w:val="left" w:pos="360"/>
        </w:tabs>
        <w:jc w:val="both"/>
        <w:rPr>
          <w:rFonts w:cs="Arial"/>
          <w:bCs/>
          <w:sz w:val="22"/>
        </w:rPr>
      </w:pPr>
    </w:p>
    <w:p w:rsidR="008328D9" w:rsidRPr="008328D9" w:rsidRDefault="008328D9" w:rsidP="008328D9">
      <w:pPr>
        <w:tabs>
          <w:tab w:val="left" w:pos="360"/>
        </w:tabs>
        <w:jc w:val="both"/>
        <w:rPr>
          <w:rFonts w:cs="Arial"/>
          <w:bCs/>
          <w:sz w:val="22"/>
        </w:rPr>
      </w:pPr>
      <w:r w:rsidRPr="008328D9">
        <w:rPr>
          <w:rFonts w:cs="Arial"/>
          <w:bCs/>
          <w:sz w:val="22"/>
        </w:rPr>
        <w:t xml:space="preserve">Con fecha 07-07-2011 Irradia S.R.L transfiere en compra venta 4 Ha. a Akso Nobel Perú S.A.C, que forman parte del predio de 25.50 Ha., mediante Escritura de compraventa de bien con arras confirmatorias ante Notaria Aníbal Corvetto. </w:t>
      </w:r>
    </w:p>
    <w:p w:rsidR="008328D9" w:rsidRPr="008328D9" w:rsidRDefault="008328D9" w:rsidP="008328D9">
      <w:pPr>
        <w:tabs>
          <w:tab w:val="left" w:pos="360"/>
        </w:tabs>
        <w:jc w:val="both"/>
        <w:rPr>
          <w:rFonts w:cs="Arial"/>
          <w:bCs/>
          <w:sz w:val="22"/>
        </w:rPr>
      </w:pPr>
    </w:p>
    <w:p w:rsidR="003D57CE" w:rsidRDefault="00A26BF5" w:rsidP="00F84D4B">
      <w:pPr>
        <w:tabs>
          <w:tab w:val="left" w:pos="360"/>
        </w:tabs>
        <w:jc w:val="both"/>
        <w:rPr>
          <w:rFonts w:cs="Arial"/>
          <w:bCs/>
          <w:sz w:val="22"/>
        </w:rPr>
      </w:pPr>
      <w:r w:rsidRPr="00A26BF5">
        <w:rPr>
          <w:rFonts w:cs="Arial"/>
          <w:bCs/>
          <w:sz w:val="22"/>
        </w:rPr>
        <w:t>Con fecha 04-10 2017</w:t>
      </w:r>
      <w:r>
        <w:rPr>
          <w:rFonts w:cs="Arial"/>
          <w:bCs/>
          <w:sz w:val="22"/>
        </w:rPr>
        <w:t xml:space="preserve"> y después de un complejo proceso de saneamiento legal en el que intervienen terceras personas que obtienen la prescripción adquisitiva del predio original de y</w:t>
      </w:r>
      <w:r w:rsidRPr="00A26BF5">
        <w:rPr>
          <w:rFonts w:cs="Arial"/>
          <w:bCs/>
          <w:sz w:val="22"/>
        </w:rPr>
        <w:t xml:space="preserve"> una vez obtenida la inmatriculación del predio 25.50 Ha. que forma parte del denominado predio Pampas y Hoyada de Calanguillo a la altura del Km. 67 de la Panamericana Sur en el distrito de Chilca y ya dividido en lote</w:t>
      </w:r>
      <w:r>
        <w:rPr>
          <w:rFonts w:cs="Arial"/>
          <w:bCs/>
          <w:sz w:val="22"/>
        </w:rPr>
        <w:t>s</w:t>
      </w:r>
      <w:r w:rsidRPr="00A26BF5">
        <w:rPr>
          <w:rFonts w:cs="Arial"/>
          <w:bCs/>
          <w:sz w:val="22"/>
        </w:rPr>
        <w:t xml:space="preserve"> 1, 2 y 3, cada uno con partidas electrónicas independizadas</w:t>
      </w:r>
      <w:r>
        <w:rPr>
          <w:rFonts w:cs="Arial"/>
          <w:bCs/>
          <w:sz w:val="22"/>
        </w:rPr>
        <w:t xml:space="preserve"> 21223303, 21223304 y 21223305 del registro de predios de la oficina registral Cañete</w:t>
      </w:r>
      <w:r w:rsidRPr="00A26BF5">
        <w:rPr>
          <w:rFonts w:cs="Arial"/>
          <w:bCs/>
          <w:sz w:val="22"/>
        </w:rPr>
        <w:t xml:space="preserve">, quedando </w:t>
      </w:r>
      <w:r>
        <w:rPr>
          <w:rFonts w:cs="Arial"/>
          <w:bCs/>
          <w:sz w:val="22"/>
        </w:rPr>
        <w:t xml:space="preserve">finalmente </w:t>
      </w:r>
      <w:r w:rsidRPr="00A26BF5">
        <w:rPr>
          <w:rFonts w:cs="Arial"/>
          <w:bCs/>
          <w:sz w:val="22"/>
        </w:rPr>
        <w:t xml:space="preserve">el lote 1 en propiedad de Irradia S.R.L y los lotes 2 y 3 transferidos a Akso Nobel Perú S.A.C.y a </w:t>
      </w:r>
      <w:r w:rsidRPr="005D493B">
        <w:rPr>
          <w:rFonts w:cs="Arial"/>
          <w:b/>
          <w:bCs/>
          <w:sz w:val="22"/>
        </w:rPr>
        <w:t xml:space="preserve">Estela Mary Ruiz Ávila de Heredia </w:t>
      </w:r>
      <w:r w:rsidRPr="00A26BF5">
        <w:rPr>
          <w:rFonts w:cs="Arial"/>
          <w:bCs/>
          <w:sz w:val="22"/>
        </w:rPr>
        <w:t>respectivamente</w:t>
      </w:r>
      <w:r w:rsidR="008A7107">
        <w:rPr>
          <w:rFonts w:cs="Arial"/>
          <w:bCs/>
          <w:sz w:val="22"/>
        </w:rPr>
        <w:t>.</w:t>
      </w:r>
    </w:p>
    <w:p w:rsidR="008A7107" w:rsidRDefault="008A7107" w:rsidP="00F84D4B">
      <w:pPr>
        <w:tabs>
          <w:tab w:val="left" w:pos="360"/>
        </w:tabs>
        <w:jc w:val="both"/>
        <w:rPr>
          <w:rFonts w:cs="Arial"/>
          <w:bCs/>
          <w:sz w:val="22"/>
        </w:rPr>
      </w:pPr>
    </w:p>
    <w:p w:rsidR="008A7107" w:rsidRPr="00A26BF5" w:rsidRDefault="008A7107" w:rsidP="00F84D4B">
      <w:pPr>
        <w:tabs>
          <w:tab w:val="left" w:pos="360"/>
        </w:tabs>
        <w:jc w:val="both"/>
        <w:rPr>
          <w:rFonts w:cs="Arial"/>
          <w:bCs/>
          <w:sz w:val="22"/>
        </w:rPr>
      </w:pPr>
    </w:p>
    <w:p w:rsidR="00A26BF5" w:rsidRDefault="00A26BF5" w:rsidP="00F84D4B">
      <w:pPr>
        <w:tabs>
          <w:tab w:val="left" w:pos="360"/>
        </w:tabs>
        <w:jc w:val="both"/>
        <w:rPr>
          <w:rFonts w:cs="Arial"/>
          <w:b/>
          <w:bCs/>
          <w:sz w:val="22"/>
        </w:rPr>
      </w:pPr>
    </w:p>
    <w:p w:rsidR="00F84D4B" w:rsidRDefault="00F84D4B" w:rsidP="00F84D4B">
      <w:pPr>
        <w:tabs>
          <w:tab w:val="left" w:pos="360"/>
        </w:tabs>
        <w:jc w:val="both"/>
        <w:rPr>
          <w:rFonts w:cs="Arial"/>
          <w:b/>
          <w:caps/>
          <w:sz w:val="22"/>
        </w:rPr>
      </w:pPr>
      <w:r w:rsidRPr="00F84D4B">
        <w:rPr>
          <w:rFonts w:cs="Arial"/>
          <w:b/>
          <w:bCs/>
          <w:sz w:val="22"/>
        </w:rPr>
        <w:t>I</w:t>
      </w:r>
      <w:r w:rsidR="000841B7">
        <w:rPr>
          <w:rFonts w:cs="Arial"/>
          <w:b/>
          <w:bCs/>
          <w:sz w:val="22"/>
        </w:rPr>
        <w:t>I</w:t>
      </w:r>
      <w:r w:rsidRPr="00F84D4B">
        <w:rPr>
          <w:rFonts w:cs="Arial"/>
          <w:b/>
          <w:bCs/>
          <w:sz w:val="22"/>
        </w:rPr>
        <w:t>.</w:t>
      </w:r>
      <w:r>
        <w:rPr>
          <w:rFonts w:cs="Arial"/>
          <w:b/>
          <w:bCs/>
          <w:sz w:val="22"/>
        </w:rPr>
        <w:t xml:space="preserve"> </w:t>
      </w:r>
      <w:r>
        <w:rPr>
          <w:rFonts w:cs="Arial"/>
          <w:b/>
          <w:caps/>
          <w:sz w:val="22"/>
        </w:rPr>
        <w:t xml:space="preserve">GENERALIDADES: </w:t>
      </w:r>
    </w:p>
    <w:p w:rsidR="00F84D4B" w:rsidRDefault="00F84D4B" w:rsidP="00F84D4B">
      <w:pPr>
        <w:tabs>
          <w:tab w:val="left" w:pos="360"/>
        </w:tabs>
        <w:ind w:left="283"/>
        <w:jc w:val="both"/>
        <w:rPr>
          <w:rFonts w:cs="Arial"/>
          <w:bCs/>
          <w:sz w:val="22"/>
        </w:rPr>
      </w:pPr>
    </w:p>
    <w:p w:rsidR="00DD6041" w:rsidRDefault="00DD6041" w:rsidP="00DD6041">
      <w:pPr>
        <w:tabs>
          <w:tab w:val="left" w:pos="360"/>
        </w:tabs>
        <w:jc w:val="both"/>
        <w:rPr>
          <w:rFonts w:cs="Arial"/>
          <w:bCs/>
          <w:sz w:val="22"/>
        </w:rPr>
      </w:pPr>
      <w:r>
        <w:rPr>
          <w:rFonts w:cs="Arial"/>
          <w:bCs/>
          <w:sz w:val="22"/>
        </w:rPr>
        <w:t>La necesidad de orientar el desarrollo y crecimiento de la zona urbana de Chilca, en el marco de un manejo adecuado y desde una perspectiva de sostenibilidad que busca el equilibrio del ecosistema con el crecimiento de las áreas urbanas, protegiendo y resguardando sus valores y potencialidades, propició la dación de la Ordenanza 006-95-MPC, que aprueba el Reglamento de Usos de Suelos de la provincia de Cañete y su modificatoria aprobada por Ordenanza 026-2002, en las cuales se establece que al predio materia de estudio le corresponde la zonificación E.N.P. (Eriazo no programado).</w:t>
      </w:r>
    </w:p>
    <w:p w:rsidR="00DD6041" w:rsidRDefault="00DD6041" w:rsidP="00DD6041">
      <w:pPr>
        <w:tabs>
          <w:tab w:val="left" w:pos="360"/>
        </w:tabs>
        <w:jc w:val="both"/>
        <w:rPr>
          <w:rFonts w:cs="Arial"/>
          <w:bCs/>
          <w:sz w:val="22"/>
        </w:rPr>
      </w:pPr>
    </w:p>
    <w:p w:rsidR="009E754C" w:rsidRDefault="009F301E" w:rsidP="009F301E">
      <w:pPr>
        <w:pStyle w:val="Sangra2detindependiente"/>
        <w:ind w:left="0"/>
        <w:rPr>
          <w:sz w:val="22"/>
        </w:rPr>
      </w:pPr>
      <w:r w:rsidRPr="009F301E">
        <w:rPr>
          <w:sz w:val="22"/>
        </w:rPr>
        <w:t xml:space="preserve">Así el predio materia de trámite, se encuentra ubicado </w:t>
      </w:r>
      <w:r w:rsidR="009E754C">
        <w:rPr>
          <w:sz w:val="22"/>
        </w:rPr>
        <w:t xml:space="preserve">en zona de </w:t>
      </w:r>
      <w:r w:rsidR="008328D9">
        <w:rPr>
          <w:sz w:val="22"/>
        </w:rPr>
        <w:t>expansión</w:t>
      </w:r>
      <w:r w:rsidRPr="009F301E">
        <w:rPr>
          <w:sz w:val="22"/>
        </w:rPr>
        <w:t xml:space="preserve"> urbana del distrito de Chilca, de acuerdo a lo graficado en el Plan Urbano correspondiente y dentro de sus linderos se proyecta la Planta criogénica de Gas Natural, que cuenta con la resolución N° 165-2008-GODUR-MPC  que declara procedente la compatibilidad de uso correspondiente</w:t>
      </w:r>
      <w:r w:rsidR="009E754C">
        <w:rPr>
          <w:sz w:val="22"/>
        </w:rPr>
        <w:t>.</w:t>
      </w:r>
    </w:p>
    <w:p w:rsidR="009E754C" w:rsidRDefault="009E754C" w:rsidP="009F301E">
      <w:pPr>
        <w:pStyle w:val="Sangra2detindependiente"/>
        <w:ind w:left="0"/>
        <w:rPr>
          <w:sz w:val="22"/>
        </w:rPr>
      </w:pPr>
    </w:p>
    <w:p w:rsidR="00F96F33" w:rsidRDefault="00396D8F" w:rsidP="00396D8F">
      <w:pPr>
        <w:pStyle w:val="Sangra2detindependiente"/>
        <w:tabs>
          <w:tab w:val="clear" w:pos="360"/>
        </w:tabs>
        <w:ind w:left="0"/>
        <w:rPr>
          <w:sz w:val="22"/>
        </w:rPr>
      </w:pPr>
      <w:r w:rsidRPr="00396D8F">
        <w:rPr>
          <w:sz w:val="22"/>
        </w:rPr>
        <w:t xml:space="preserve">El desarrollo del Planeamiento Integral, que incluye al terreno materia de anexión al área urbana y asignación de zonificación I4, tiene como objetivo asegurar la integración de este a su entorno en forma armónica y autosuficiente, desde el punto de vista vial, de servicios y equipamientos, así como sustentar la coordinación y el desarrollo con las vías y habilitaciones urbanas existentes, tal como se define en el artículo 58° del Reglamento de Acondicionamiento territorial y Desarrollo urbano sostenible, aprobado por el D.S. 022-2016, que señala que el Planeamiento integral “es un instrumento técnico normativo mediante el cual se asigna zonificación y vías primarias con fines de integración al área urbana, a aquellos predios rústicos no comprendidos en los Planes de Desarrollo urbano PDU, EU y/o la zonificación  o localizados en centros poblados que carezcan de PDU y/o zonificación.”  </w:t>
      </w:r>
    </w:p>
    <w:p w:rsidR="00150FC9" w:rsidRDefault="00150FC9" w:rsidP="00F84D4B">
      <w:pPr>
        <w:pStyle w:val="Sangra2detindependiente"/>
        <w:rPr>
          <w:sz w:val="22"/>
        </w:rPr>
      </w:pPr>
    </w:p>
    <w:p w:rsidR="00150FC9" w:rsidRDefault="00150FC9" w:rsidP="00E62D64">
      <w:pPr>
        <w:pStyle w:val="Sangra2detindependiente"/>
        <w:ind w:left="0"/>
        <w:rPr>
          <w:b/>
          <w:sz w:val="22"/>
        </w:rPr>
      </w:pPr>
      <w:r w:rsidRPr="00150FC9">
        <w:rPr>
          <w:b/>
          <w:sz w:val="22"/>
        </w:rPr>
        <w:t>III.- CARACTERISTICAS DEL PREDIO</w:t>
      </w:r>
    </w:p>
    <w:p w:rsidR="00150FC9" w:rsidRPr="00150FC9" w:rsidRDefault="00150FC9" w:rsidP="00F84D4B">
      <w:pPr>
        <w:pStyle w:val="Sangra2detindependiente"/>
        <w:rPr>
          <w:b/>
          <w:sz w:val="22"/>
        </w:rPr>
      </w:pPr>
    </w:p>
    <w:p w:rsidR="001C7B0F" w:rsidRDefault="00150FC9" w:rsidP="00442AA7">
      <w:pPr>
        <w:tabs>
          <w:tab w:val="left" w:pos="567"/>
        </w:tabs>
        <w:jc w:val="both"/>
        <w:rPr>
          <w:rFonts w:cs="Arial"/>
          <w:sz w:val="22"/>
        </w:rPr>
      </w:pPr>
      <w:r>
        <w:rPr>
          <w:rFonts w:cs="Arial"/>
          <w:sz w:val="22"/>
        </w:rPr>
        <w:t>E</w:t>
      </w:r>
      <w:r w:rsidR="001C7B0F">
        <w:rPr>
          <w:rFonts w:cs="Arial"/>
          <w:sz w:val="22"/>
        </w:rPr>
        <w:t xml:space="preserve">l predio rustico </w:t>
      </w:r>
      <w:r w:rsidR="00DD6041">
        <w:rPr>
          <w:rFonts w:cs="Arial"/>
          <w:sz w:val="22"/>
        </w:rPr>
        <w:t xml:space="preserve">denominado lote </w:t>
      </w:r>
      <w:r w:rsidR="005D493B">
        <w:rPr>
          <w:rFonts w:cs="Arial"/>
          <w:sz w:val="22"/>
        </w:rPr>
        <w:t>3</w:t>
      </w:r>
      <w:r w:rsidR="001C7B0F">
        <w:rPr>
          <w:rFonts w:cs="Arial"/>
          <w:sz w:val="22"/>
        </w:rPr>
        <w:t xml:space="preserve"> se encuentra dentro del sector </w:t>
      </w:r>
      <w:r w:rsidR="00442AA7" w:rsidRPr="00442AA7">
        <w:rPr>
          <w:rFonts w:cs="Arial"/>
          <w:sz w:val="22"/>
        </w:rPr>
        <w:t>predio Pampas y Hoyada de Calanguillo a la altura del Km. 67 de la Panamericana Sur en el distrito de Chilca</w:t>
      </w:r>
      <w:r w:rsidR="00442AA7">
        <w:rPr>
          <w:rFonts w:cs="Arial"/>
          <w:sz w:val="22"/>
        </w:rPr>
        <w:t xml:space="preserve"> y formo parte del predio mayor del </w:t>
      </w:r>
      <w:r w:rsidR="00442AA7" w:rsidRPr="00442AA7">
        <w:rPr>
          <w:rFonts w:cs="Arial"/>
          <w:sz w:val="22"/>
        </w:rPr>
        <w:t xml:space="preserve">terreno de 25.50 Ha. que </w:t>
      </w:r>
      <w:r w:rsidR="005D493B">
        <w:rPr>
          <w:rFonts w:cs="Arial"/>
          <w:sz w:val="22"/>
        </w:rPr>
        <w:t>adquirió</w:t>
      </w:r>
      <w:r w:rsidR="00442AA7">
        <w:rPr>
          <w:rFonts w:cs="Arial"/>
          <w:sz w:val="22"/>
        </w:rPr>
        <w:t xml:space="preserve"> Irradia S.R.L. de</w:t>
      </w:r>
      <w:r w:rsidR="00442AA7" w:rsidRPr="00442AA7">
        <w:rPr>
          <w:rFonts w:cs="Arial"/>
          <w:sz w:val="22"/>
        </w:rPr>
        <w:t xml:space="preserve"> la Sucesión de José Rodríguez Arnaiz</w:t>
      </w:r>
      <w:r w:rsidR="00442AA7">
        <w:rPr>
          <w:rFonts w:cs="Arial"/>
          <w:sz w:val="22"/>
        </w:rPr>
        <w:t xml:space="preserve"> en Abril de 2008.</w:t>
      </w:r>
      <w:r w:rsidR="00442AA7" w:rsidRPr="00442AA7">
        <w:rPr>
          <w:rFonts w:cs="Arial"/>
          <w:sz w:val="22"/>
        </w:rPr>
        <w:t xml:space="preserve">  </w:t>
      </w:r>
    </w:p>
    <w:p w:rsidR="00442AA7" w:rsidRPr="001C7B0F" w:rsidRDefault="00442AA7" w:rsidP="00442AA7">
      <w:pPr>
        <w:tabs>
          <w:tab w:val="left" w:pos="567"/>
        </w:tabs>
        <w:jc w:val="both"/>
        <w:rPr>
          <w:rFonts w:cs="Arial"/>
          <w:sz w:val="22"/>
        </w:rPr>
      </w:pPr>
    </w:p>
    <w:p w:rsidR="00F84D4B" w:rsidRDefault="00A51224" w:rsidP="00F96F33">
      <w:pPr>
        <w:tabs>
          <w:tab w:val="left" w:pos="567"/>
        </w:tabs>
        <w:ind w:left="1080"/>
        <w:jc w:val="both"/>
        <w:rPr>
          <w:rFonts w:cs="Arial"/>
          <w:b/>
          <w:sz w:val="22"/>
        </w:rPr>
      </w:pPr>
      <w:r>
        <w:rPr>
          <w:rFonts w:cs="Arial"/>
          <w:b/>
          <w:sz w:val="22"/>
        </w:rPr>
        <w:t>Área</w:t>
      </w:r>
      <w:r w:rsidR="00F84D4B">
        <w:rPr>
          <w:rFonts w:cs="Arial"/>
          <w:b/>
          <w:sz w:val="22"/>
        </w:rPr>
        <w:t xml:space="preserve"> del </w:t>
      </w:r>
      <w:r w:rsidR="00150FC9">
        <w:rPr>
          <w:rFonts w:cs="Arial"/>
          <w:b/>
          <w:sz w:val="22"/>
        </w:rPr>
        <w:t>predio</w:t>
      </w:r>
      <w:r w:rsidR="00F84D4B">
        <w:rPr>
          <w:rFonts w:cs="Arial"/>
          <w:b/>
          <w:sz w:val="22"/>
        </w:rPr>
        <w:t>:</w:t>
      </w:r>
    </w:p>
    <w:p w:rsidR="004F2EE2" w:rsidRDefault="00F84D4B" w:rsidP="004F2EE2">
      <w:pPr>
        <w:tabs>
          <w:tab w:val="left" w:pos="567"/>
        </w:tabs>
        <w:ind w:left="708"/>
        <w:jc w:val="both"/>
        <w:rPr>
          <w:rFonts w:cs="Arial"/>
          <w:bCs/>
          <w:sz w:val="22"/>
        </w:rPr>
      </w:pPr>
      <w:r>
        <w:rPr>
          <w:rFonts w:cs="Arial"/>
          <w:bCs/>
          <w:sz w:val="22"/>
        </w:rPr>
        <w:t xml:space="preserve">El </w:t>
      </w:r>
      <w:r w:rsidR="00311445">
        <w:rPr>
          <w:rFonts w:cs="Arial"/>
          <w:bCs/>
          <w:sz w:val="22"/>
        </w:rPr>
        <w:t xml:space="preserve">predio </w:t>
      </w:r>
      <w:r>
        <w:rPr>
          <w:rFonts w:cs="Arial"/>
          <w:bCs/>
          <w:sz w:val="22"/>
        </w:rPr>
        <w:t xml:space="preserve">tiene un área total de </w:t>
      </w:r>
      <w:r w:rsidR="00DD6041">
        <w:rPr>
          <w:rFonts w:cs="Arial"/>
          <w:bCs/>
          <w:sz w:val="22"/>
        </w:rPr>
        <w:t>1</w:t>
      </w:r>
      <w:r w:rsidR="005D493B">
        <w:rPr>
          <w:rFonts w:cs="Arial"/>
          <w:bCs/>
          <w:sz w:val="22"/>
        </w:rPr>
        <w:t>14</w:t>
      </w:r>
      <w:r>
        <w:rPr>
          <w:rFonts w:cs="Arial"/>
          <w:bCs/>
          <w:sz w:val="22"/>
        </w:rPr>
        <w:t>,</w:t>
      </w:r>
      <w:r w:rsidR="005D493B">
        <w:rPr>
          <w:rFonts w:cs="Arial"/>
          <w:bCs/>
          <w:sz w:val="22"/>
        </w:rPr>
        <w:t>988</w:t>
      </w:r>
      <w:r>
        <w:rPr>
          <w:rFonts w:cs="Arial"/>
          <w:bCs/>
          <w:sz w:val="22"/>
        </w:rPr>
        <w:t>.</w:t>
      </w:r>
      <w:r w:rsidR="0053172F">
        <w:rPr>
          <w:rFonts w:cs="Arial"/>
          <w:bCs/>
          <w:sz w:val="22"/>
        </w:rPr>
        <w:t>00</w:t>
      </w:r>
      <w:r>
        <w:rPr>
          <w:rFonts w:cs="Arial"/>
          <w:bCs/>
          <w:sz w:val="22"/>
        </w:rPr>
        <w:t xml:space="preserve"> m</w:t>
      </w:r>
      <w:r>
        <w:rPr>
          <w:rFonts w:cs="Arial"/>
          <w:bCs/>
          <w:sz w:val="22"/>
          <w:vertAlign w:val="superscript"/>
        </w:rPr>
        <w:t>2</w:t>
      </w:r>
      <w:r>
        <w:rPr>
          <w:rFonts w:cs="Arial"/>
          <w:bCs/>
          <w:sz w:val="22"/>
        </w:rPr>
        <w:t xml:space="preserve"> (</w:t>
      </w:r>
      <w:r w:rsidR="005D493B">
        <w:rPr>
          <w:rFonts w:cs="Arial"/>
          <w:bCs/>
          <w:sz w:val="22"/>
        </w:rPr>
        <w:t>Ciento catorce mil novecientos ochenta y ocho y 00/100</w:t>
      </w:r>
      <w:r w:rsidR="008D0D56">
        <w:rPr>
          <w:rFonts w:cs="Arial"/>
          <w:bCs/>
          <w:sz w:val="22"/>
        </w:rPr>
        <w:t xml:space="preserve"> </w:t>
      </w:r>
      <w:r>
        <w:rPr>
          <w:rFonts w:cs="Arial"/>
          <w:bCs/>
          <w:sz w:val="22"/>
        </w:rPr>
        <w:t xml:space="preserve">metros cuadrados) </w:t>
      </w:r>
      <w:r w:rsidR="004F2EE2">
        <w:rPr>
          <w:rFonts w:cs="Arial"/>
          <w:bCs/>
          <w:sz w:val="22"/>
        </w:rPr>
        <w:t xml:space="preserve">y se encuentra inscrito en la Partida </w:t>
      </w:r>
      <w:r w:rsidR="00E10FF8">
        <w:rPr>
          <w:sz w:val="22"/>
        </w:rPr>
        <w:t>Electrónica Nº P03155323</w:t>
      </w:r>
      <w:r w:rsidR="004F2EE2">
        <w:rPr>
          <w:rFonts w:cs="Arial"/>
          <w:bCs/>
          <w:sz w:val="22"/>
        </w:rPr>
        <w:t xml:space="preserve"> del Registro de la Propiedad de Lima</w:t>
      </w:r>
      <w:r w:rsidR="00E10FF8">
        <w:rPr>
          <w:rFonts w:cs="Arial"/>
          <w:bCs/>
          <w:sz w:val="22"/>
        </w:rPr>
        <w:t>.</w:t>
      </w:r>
    </w:p>
    <w:p w:rsidR="00E10FF8" w:rsidRDefault="00E10FF8" w:rsidP="004F2EE2">
      <w:pPr>
        <w:tabs>
          <w:tab w:val="left" w:pos="567"/>
        </w:tabs>
        <w:ind w:left="708"/>
        <w:jc w:val="both"/>
        <w:rPr>
          <w:rFonts w:cs="Arial"/>
          <w:bCs/>
          <w:sz w:val="22"/>
        </w:rPr>
      </w:pPr>
    </w:p>
    <w:p w:rsidR="00F84D4B" w:rsidRDefault="00F84D4B" w:rsidP="00F96F33">
      <w:pPr>
        <w:tabs>
          <w:tab w:val="left" w:pos="567"/>
        </w:tabs>
        <w:ind w:left="720"/>
        <w:jc w:val="both"/>
        <w:rPr>
          <w:rFonts w:cs="Arial"/>
          <w:b/>
          <w:sz w:val="22"/>
        </w:rPr>
      </w:pPr>
      <w:r>
        <w:rPr>
          <w:rFonts w:cs="Arial"/>
          <w:b/>
          <w:sz w:val="22"/>
        </w:rPr>
        <w:t xml:space="preserve">Linderos y Medidas Perimétricas: </w:t>
      </w:r>
    </w:p>
    <w:p w:rsidR="00F84D4B" w:rsidRDefault="00F84D4B" w:rsidP="00F84D4B">
      <w:pPr>
        <w:tabs>
          <w:tab w:val="left" w:pos="567"/>
        </w:tabs>
        <w:ind w:left="567"/>
        <w:jc w:val="both"/>
        <w:rPr>
          <w:rFonts w:cs="Arial"/>
          <w:bCs/>
          <w:sz w:val="22"/>
        </w:rPr>
      </w:pPr>
      <w:r>
        <w:rPr>
          <w:rFonts w:cs="Arial"/>
          <w:bCs/>
          <w:sz w:val="22"/>
        </w:rPr>
        <w:t xml:space="preserve">  Los linderos y medidas perimétricas del </w:t>
      </w:r>
      <w:r w:rsidR="008D0D56">
        <w:rPr>
          <w:rFonts w:cs="Arial"/>
          <w:bCs/>
          <w:sz w:val="22"/>
        </w:rPr>
        <w:t>terreno</w:t>
      </w:r>
      <w:r>
        <w:rPr>
          <w:rFonts w:cs="Arial"/>
          <w:bCs/>
          <w:sz w:val="22"/>
        </w:rPr>
        <w:t xml:space="preserve"> son las siguientes:</w:t>
      </w:r>
    </w:p>
    <w:p w:rsidR="00F84D4B" w:rsidRDefault="00F84D4B" w:rsidP="00F84D4B">
      <w:pPr>
        <w:tabs>
          <w:tab w:val="left" w:pos="567"/>
        </w:tabs>
        <w:ind w:left="284"/>
        <w:jc w:val="both"/>
        <w:rPr>
          <w:rFonts w:cs="Arial"/>
          <w:bCs/>
          <w:sz w:val="22"/>
        </w:rPr>
      </w:pPr>
    </w:p>
    <w:tbl>
      <w:tblPr>
        <w:tblW w:w="12526" w:type="dxa"/>
        <w:tblInd w:w="637" w:type="dxa"/>
        <w:tblCellMar>
          <w:left w:w="70" w:type="dxa"/>
          <w:right w:w="70" w:type="dxa"/>
        </w:tblCellMar>
        <w:tblLook w:val="0000" w:firstRow="0" w:lastRow="0" w:firstColumn="0" w:lastColumn="0" w:noHBand="0" w:noVBand="0"/>
      </w:tblPr>
      <w:tblGrid>
        <w:gridCol w:w="7585"/>
        <w:gridCol w:w="2027"/>
        <w:gridCol w:w="2914"/>
      </w:tblGrid>
      <w:tr w:rsidR="008D0D56" w:rsidTr="005D493B">
        <w:tc>
          <w:tcPr>
            <w:tcW w:w="7585" w:type="dxa"/>
          </w:tcPr>
          <w:p w:rsidR="005D493B" w:rsidRPr="005D493B" w:rsidRDefault="005D493B" w:rsidP="005D493B">
            <w:pPr>
              <w:pStyle w:val="Ttulo2"/>
              <w:rPr>
                <w:b w:val="0"/>
              </w:rPr>
            </w:pPr>
            <w:r w:rsidRPr="005D493B">
              <w:rPr>
                <w:b w:val="0"/>
              </w:rPr>
              <w:lastRenderedPageBreak/>
              <w:t>AREA: 114,988.00 m2 = 11.4988 HECTAREAS</w:t>
            </w:r>
          </w:p>
          <w:p w:rsidR="005D493B" w:rsidRPr="005D493B" w:rsidRDefault="005D493B" w:rsidP="005D493B"/>
          <w:p w:rsidR="005D493B" w:rsidRDefault="005D493B" w:rsidP="005D493B">
            <w:pPr>
              <w:pStyle w:val="Ttulo2"/>
              <w:rPr>
                <w:b w:val="0"/>
              </w:rPr>
            </w:pPr>
            <w:r w:rsidRPr="005D493B">
              <w:rPr>
                <w:b w:val="0"/>
              </w:rPr>
              <w:t xml:space="preserve">PERIMETRO: </w:t>
            </w:r>
            <w:r w:rsidR="0050595F">
              <w:rPr>
                <w:b w:val="0"/>
              </w:rPr>
              <w:t>1</w:t>
            </w:r>
            <w:r w:rsidRPr="005D493B">
              <w:rPr>
                <w:b w:val="0"/>
              </w:rPr>
              <w:t>,</w:t>
            </w:r>
            <w:r w:rsidR="0050595F">
              <w:rPr>
                <w:b w:val="0"/>
              </w:rPr>
              <w:t>843</w:t>
            </w:r>
            <w:r w:rsidRPr="005D493B">
              <w:rPr>
                <w:b w:val="0"/>
              </w:rPr>
              <w:t>.10 m.</w:t>
            </w:r>
          </w:p>
          <w:p w:rsidR="001B61FA" w:rsidRPr="001B61FA" w:rsidRDefault="001B61FA" w:rsidP="001B61FA"/>
          <w:p w:rsidR="005D493B" w:rsidRDefault="005D493B" w:rsidP="005D493B">
            <w:pPr>
              <w:pStyle w:val="Ttulo2"/>
              <w:rPr>
                <w:b w:val="0"/>
              </w:rPr>
            </w:pPr>
            <w:r w:rsidRPr="005D493B">
              <w:rPr>
                <w:b w:val="0"/>
              </w:rPr>
              <w:t>COLINDANCIAS Y LINDEROS</w:t>
            </w:r>
          </w:p>
          <w:p w:rsidR="001B61FA" w:rsidRPr="001B61FA" w:rsidRDefault="001B61FA" w:rsidP="001B61FA"/>
          <w:p w:rsidR="005D493B" w:rsidRPr="005D493B" w:rsidRDefault="005D493B" w:rsidP="005D493B">
            <w:pPr>
              <w:pStyle w:val="Ttulo2"/>
              <w:rPr>
                <w:b w:val="0"/>
              </w:rPr>
            </w:pPr>
            <w:r w:rsidRPr="005D493B">
              <w:rPr>
                <w:b w:val="0"/>
              </w:rPr>
              <w:t>FRENTE:    Colinda con camino carrozable en una línea recta de 199.73 m.</w:t>
            </w:r>
          </w:p>
          <w:p w:rsidR="005D493B" w:rsidRPr="005D493B" w:rsidRDefault="005D493B" w:rsidP="005D493B">
            <w:pPr>
              <w:pStyle w:val="Ttulo2"/>
              <w:rPr>
                <w:b w:val="0"/>
              </w:rPr>
            </w:pPr>
            <w:r w:rsidRPr="005D493B">
              <w:rPr>
                <w:b w:val="0"/>
              </w:rPr>
              <w:t>DERECHA:   Colinda con el lote 1 y 2 de propiedad de Irradia S.R.L. y Akso Nobel Perú S.R.L. en una línea quebrada de 3 tramos: 400.09 m., 94.80 m Y 259.25 m.</w:t>
            </w:r>
            <w:proofErr w:type="gramStart"/>
            <w:r w:rsidRPr="005D493B">
              <w:rPr>
                <w:b w:val="0"/>
              </w:rPr>
              <w:t>,.</w:t>
            </w:r>
            <w:proofErr w:type="gramEnd"/>
            <w:r w:rsidRPr="005D493B">
              <w:rPr>
                <w:b w:val="0"/>
              </w:rPr>
              <w:t xml:space="preserve"> </w:t>
            </w:r>
          </w:p>
          <w:p w:rsidR="005D493B" w:rsidRPr="005D493B" w:rsidRDefault="005D493B" w:rsidP="005D493B">
            <w:pPr>
              <w:pStyle w:val="Ttulo2"/>
              <w:rPr>
                <w:b w:val="0"/>
              </w:rPr>
            </w:pPr>
            <w:r w:rsidRPr="005D493B">
              <w:rPr>
                <w:b w:val="0"/>
              </w:rPr>
              <w:t>IZQUIERDA: Colinda con camino carrozable y propiedad de terceros en una línea quebrada de 6 tramos: 214.49 m., 24.74 m., 139.31 m., 36.89 m., 65.39 m. y 233.38 m.</w:t>
            </w:r>
          </w:p>
          <w:p w:rsidR="005D493B" w:rsidRPr="005D493B" w:rsidRDefault="005D493B" w:rsidP="005D493B">
            <w:pPr>
              <w:pStyle w:val="Ttulo2"/>
              <w:rPr>
                <w:b w:val="0"/>
              </w:rPr>
            </w:pPr>
            <w:r w:rsidRPr="005D493B">
              <w:rPr>
                <w:b w:val="0"/>
              </w:rPr>
              <w:t>FONDO: Colinda con propiedad de terceros en línea recta de 175.03 m.</w:t>
            </w:r>
          </w:p>
          <w:p w:rsidR="005D493B" w:rsidRPr="005D493B" w:rsidRDefault="005D493B" w:rsidP="005D493B">
            <w:pPr>
              <w:pStyle w:val="Ttulo2"/>
              <w:rPr>
                <w:b w:val="0"/>
              </w:rPr>
            </w:pPr>
          </w:p>
          <w:p w:rsidR="00F84D4B" w:rsidRDefault="00F84D4B" w:rsidP="009F486F">
            <w:pPr>
              <w:pStyle w:val="Ttulo2"/>
            </w:pPr>
          </w:p>
        </w:tc>
        <w:tc>
          <w:tcPr>
            <w:tcW w:w="2027" w:type="dxa"/>
          </w:tcPr>
          <w:p w:rsidR="00F84D4B" w:rsidRDefault="00F84D4B" w:rsidP="005D493B">
            <w:pPr>
              <w:tabs>
                <w:tab w:val="left" w:pos="5660"/>
              </w:tabs>
              <w:ind w:left="1067" w:hanging="11"/>
              <w:jc w:val="both"/>
              <w:rPr>
                <w:rFonts w:cs="Arial"/>
                <w:bCs/>
                <w:sz w:val="22"/>
              </w:rPr>
            </w:pPr>
          </w:p>
        </w:tc>
        <w:tc>
          <w:tcPr>
            <w:tcW w:w="2914" w:type="dxa"/>
          </w:tcPr>
          <w:p w:rsidR="00F84D4B" w:rsidRDefault="00F84D4B" w:rsidP="00CE789F">
            <w:pPr>
              <w:tabs>
                <w:tab w:val="left" w:pos="5660"/>
              </w:tabs>
              <w:jc w:val="both"/>
              <w:rPr>
                <w:rFonts w:cs="Arial"/>
                <w:bCs/>
                <w:sz w:val="22"/>
              </w:rPr>
            </w:pPr>
          </w:p>
        </w:tc>
      </w:tr>
      <w:tr w:rsidR="008D0D56" w:rsidTr="005D493B">
        <w:tc>
          <w:tcPr>
            <w:tcW w:w="7585" w:type="dxa"/>
          </w:tcPr>
          <w:p w:rsidR="00F84D4B" w:rsidRDefault="00F84D4B" w:rsidP="00FD3E18">
            <w:pPr>
              <w:pStyle w:val="Ttulo2"/>
            </w:pPr>
          </w:p>
        </w:tc>
        <w:tc>
          <w:tcPr>
            <w:tcW w:w="2027" w:type="dxa"/>
          </w:tcPr>
          <w:p w:rsidR="00F84D4B" w:rsidRDefault="00F84D4B" w:rsidP="00FD3E18">
            <w:pPr>
              <w:tabs>
                <w:tab w:val="left" w:pos="5660"/>
              </w:tabs>
              <w:jc w:val="both"/>
              <w:rPr>
                <w:rFonts w:cs="Arial"/>
                <w:bCs/>
                <w:sz w:val="22"/>
              </w:rPr>
            </w:pPr>
          </w:p>
        </w:tc>
        <w:tc>
          <w:tcPr>
            <w:tcW w:w="2914" w:type="dxa"/>
          </w:tcPr>
          <w:p w:rsidR="00F84D4B" w:rsidRDefault="00F84D4B" w:rsidP="00CE789F">
            <w:pPr>
              <w:tabs>
                <w:tab w:val="left" w:pos="5660"/>
              </w:tabs>
              <w:jc w:val="both"/>
              <w:rPr>
                <w:rFonts w:cs="Arial"/>
                <w:bCs/>
                <w:sz w:val="22"/>
              </w:rPr>
            </w:pPr>
          </w:p>
        </w:tc>
      </w:tr>
      <w:tr w:rsidR="008D0D56" w:rsidTr="005D493B">
        <w:tc>
          <w:tcPr>
            <w:tcW w:w="7585" w:type="dxa"/>
          </w:tcPr>
          <w:p w:rsidR="00F84D4B" w:rsidRDefault="00F84D4B" w:rsidP="0068280F">
            <w:pPr>
              <w:pStyle w:val="Ttulo2"/>
            </w:pPr>
          </w:p>
        </w:tc>
        <w:tc>
          <w:tcPr>
            <w:tcW w:w="2027" w:type="dxa"/>
          </w:tcPr>
          <w:p w:rsidR="00F84D4B" w:rsidRDefault="00F84D4B" w:rsidP="00FD3E18">
            <w:pPr>
              <w:tabs>
                <w:tab w:val="left" w:pos="5660"/>
              </w:tabs>
              <w:jc w:val="both"/>
              <w:rPr>
                <w:rFonts w:cs="Arial"/>
                <w:bCs/>
                <w:sz w:val="22"/>
              </w:rPr>
            </w:pPr>
          </w:p>
        </w:tc>
        <w:tc>
          <w:tcPr>
            <w:tcW w:w="2914" w:type="dxa"/>
          </w:tcPr>
          <w:p w:rsidR="00F84D4B" w:rsidRDefault="00F84D4B" w:rsidP="00CE789F">
            <w:pPr>
              <w:tabs>
                <w:tab w:val="left" w:pos="5660"/>
              </w:tabs>
              <w:jc w:val="both"/>
              <w:rPr>
                <w:rFonts w:cs="Arial"/>
                <w:bCs/>
                <w:sz w:val="22"/>
              </w:rPr>
            </w:pPr>
          </w:p>
        </w:tc>
      </w:tr>
      <w:tr w:rsidR="008D0D56" w:rsidTr="005D493B">
        <w:tc>
          <w:tcPr>
            <w:tcW w:w="7585" w:type="dxa"/>
          </w:tcPr>
          <w:p w:rsidR="00F84D4B" w:rsidRDefault="00F84D4B" w:rsidP="00FD3E18">
            <w:pPr>
              <w:pStyle w:val="Ttulo2"/>
            </w:pPr>
          </w:p>
        </w:tc>
        <w:tc>
          <w:tcPr>
            <w:tcW w:w="2027" w:type="dxa"/>
          </w:tcPr>
          <w:p w:rsidR="00F84D4B" w:rsidRDefault="00F84D4B" w:rsidP="00FD3E18">
            <w:pPr>
              <w:tabs>
                <w:tab w:val="left" w:pos="5660"/>
              </w:tabs>
              <w:jc w:val="both"/>
              <w:rPr>
                <w:rFonts w:cs="Arial"/>
                <w:bCs/>
                <w:sz w:val="22"/>
              </w:rPr>
            </w:pPr>
          </w:p>
        </w:tc>
        <w:tc>
          <w:tcPr>
            <w:tcW w:w="2914" w:type="dxa"/>
          </w:tcPr>
          <w:p w:rsidR="00272C8F" w:rsidRDefault="00272C8F" w:rsidP="00CE789F">
            <w:pPr>
              <w:tabs>
                <w:tab w:val="left" w:pos="5660"/>
              </w:tabs>
              <w:jc w:val="both"/>
              <w:rPr>
                <w:rFonts w:cs="Arial"/>
                <w:bCs/>
                <w:sz w:val="22"/>
              </w:rPr>
            </w:pPr>
          </w:p>
        </w:tc>
      </w:tr>
    </w:tbl>
    <w:p w:rsidR="00C10707" w:rsidRDefault="00272C8F" w:rsidP="001B61FA">
      <w:pPr>
        <w:tabs>
          <w:tab w:val="left" w:pos="567"/>
        </w:tabs>
        <w:jc w:val="both"/>
        <w:rPr>
          <w:rFonts w:cs="Arial"/>
          <w:b/>
          <w:bCs/>
          <w:sz w:val="22"/>
        </w:rPr>
      </w:pPr>
      <w:r>
        <w:rPr>
          <w:rFonts w:cs="Arial"/>
          <w:b/>
          <w:sz w:val="22"/>
        </w:rPr>
        <w:tab/>
      </w:r>
      <w:r w:rsidR="00F17AF8">
        <w:rPr>
          <w:rFonts w:cs="Arial"/>
          <w:b/>
          <w:bCs/>
          <w:sz w:val="22"/>
        </w:rPr>
        <w:t>I</w:t>
      </w:r>
      <w:r w:rsidR="00150FC9">
        <w:rPr>
          <w:rFonts w:cs="Arial"/>
          <w:b/>
          <w:bCs/>
          <w:sz w:val="22"/>
        </w:rPr>
        <w:t>V</w:t>
      </w:r>
      <w:r w:rsidR="00F17AF8">
        <w:rPr>
          <w:rFonts w:cs="Arial"/>
          <w:b/>
          <w:bCs/>
          <w:sz w:val="22"/>
        </w:rPr>
        <w:t xml:space="preserve">         </w:t>
      </w:r>
      <w:r w:rsidR="00C10707">
        <w:rPr>
          <w:rFonts w:cs="Arial"/>
          <w:b/>
          <w:bCs/>
          <w:sz w:val="22"/>
        </w:rPr>
        <w:t xml:space="preserve">PROPUESTA </w:t>
      </w:r>
      <w:r w:rsidR="00B654A6">
        <w:rPr>
          <w:rFonts w:cs="Arial"/>
          <w:b/>
          <w:bCs/>
          <w:sz w:val="22"/>
        </w:rPr>
        <w:t>TECNICA</w:t>
      </w:r>
    </w:p>
    <w:p w:rsidR="009C2945" w:rsidRDefault="009C2945" w:rsidP="009C2945">
      <w:pPr>
        <w:tabs>
          <w:tab w:val="left" w:pos="360"/>
        </w:tabs>
        <w:ind w:left="360"/>
        <w:jc w:val="both"/>
        <w:rPr>
          <w:rFonts w:cs="Arial"/>
          <w:b/>
          <w:bCs/>
          <w:sz w:val="22"/>
        </w:rPr>
      </w:pPr>
    </w:p>
    <w:p w:rsidR="0051068F" w:rsidRDefault="0051068F" w:rsidP="008A7107">
      <w:pPr>
        <w:tabs>
          <w:tab w:val="left" w:pos="360"/>
        </w:tabs>
        <w:jc w:val="both"/>
        <w:rPr>
          <w:rFonts w:cs="Arial"/>
          <w:bCs/>
          <w:sz w:val="22"/>
        </w:rPr>
      </w:pPr>
      <w:r w:rsidRPr="0051068F">
        <w:rPr>
          <w:rFonts w:cs="Arial"/>
          <w:bCs/>
          <w:sz w:val="22"/>
        </w:rPr>
        <w:t>Con el fin de planificar el desarrollo urbano</w:t>
      </w:r>
      <w:r>
        <w:rPr>
          <w:rFonts w:cs="Arial"/>
          <w:bCs/>
          <w:sz w:val="22"/>
        </w:rPr>
        <w:t xml:space="preserve">, la propuesta plantea dotarlo de infraestructura vial necesaria, tomando como base las </w:t>
      </w:r>
      <w:r w:rsidR="004031A9">
        <w:rPr>
          <w:rFonts w:cs="Arial"/>
          <w:bCs/>
          <w:sz w:val="22"/>
        </w:rPr>
        <w:t>Vías</w:t>
      </w:r>
      <w:r w:rsidR="007C2532">
        <w:rPr>
          <w:rFonts w:cs="Arial"/>
          <w:bCs/>
          <w:sz w:val="22"/>
        </w:rPr>
        <w:t xml:space="preserve"> arteriales y colectoras existentes</w:t>
      </w:r>
      <w:r w:rsidR="004031A9">
        <w:rPr>
          <w:rFonts w:cs="Arial"/>
          <w:bCs/>
          <w:sz w:val="22"/>
        </w:rPr>
        <w:t>,</w:t>
      </w:r>
      <w:r>
        <w:rPr>
          <w:rFonts w:cs="Arial"/>
          <w:bCs/>
          <w:sz w:val="22"/>
        </w:rPr>
        <w:t xml:space="preserve"> </w:t>
      </w:r>
      <w:r w:rsidR="004031A9">
        <w:rPr>
          <w:rFonts w:cs="Arial"/>
          <w:bCs/>
          <w:sz w:val="22"/>
        </w:rPr>
        <w:t>así</w:t>
      </w:r>
      <w:r>
        <w:rPr>
          <w:rFonts w:cs="Arial"/>
          <w:bCs/>
          <w:sz w:val="22"/>
        </w:rPr>
        <w:t xml:space="preserve"> como las </w:t>
      </w:r>
      <w:r w:rsidR="004031A9">
        <w:rPr>
          <w:rFonts w:cs="Arial"/>
          <w:bCs/>
          <w:sz w:val="22"/>
        </w:rPr>
        <w:t xml:space="preserve">vías </w:t>
      </w:r>
      <w:r>
        <w:rPr>
          <w:rFonts w:cs="Arial"/>
          <w:bCs/>
          <w:sz w:val="22"/>
        </w:rPr>
        <w:t xml:space="preserve">locales secundarias </w:t>
      </w:r>
      <w:r w:rsidR="007C2532">
        <w:rPr>
          <w:rFonts w:cs="Arial"/>
          <w:bCs/>
          <w:sz w:val="22"/>
        </w:rPr>
        <w:t>e</w:t>
      </w:r>
      <w:r w:rsidR="004031A9">
        <w:rPr>
          <w:rFonts w:cs="Arial"/>
          <w:bCs/>
          <w:sz w:val="22"/>
        </w:rPr>
        <w:t>xistentes</w:t>
      </w:r>
      <w:r>
        <w:rPr>
          <w:rFonts w:cs="Arial"/>
          <w:bCs/>
          <w:sz w:val="22"/>
        </w:rPr>
        <w:t xml:space="preserve"> </w:t>
      </w:r>
      <w:r w:rsidR="007C2532">
        <w:rPr>
          <w:rFonts w:cs="Arial"/>
          <w:bCs/>
          <w:sz w:val="22"/>
        </w:rPr>
        <w:t>en el casco urbano de Chilca y d</w:t>
      </w:r>
      <w:r>
        <w:rPr>
          <w:rFonts w:cs="Arial"/>
          <w:bCs/>
          <w:sz w:val="22"/>
        </w:rPr>
        <w:t xml:space="preserve">e las parcelaciones colindantes, las que no </w:t>
      </w:r>
      <w:r w:rsidR="004031A9">
        <w:rPr>
          <w:rFonts w:cs="Arial"/>
          <w:bCs/>
          <w:sz w:val="22"/>
        </w:rPr>
        <w:t>serán</w:t>
      </w:r>
      <w:r>
        <w:rPr>
          <w:rFonts w:cs="Arial"/>
          <w:bCs/>
          <w:sz w:val="22"/>
        </w:rPr>
        <w:t xml:space="preserve"> alteradas en su trazo, siendo regularizadas y </w:t>
      </w:r>
      <w:r w:rsidR="004031A9">
        <w:rPr>
          <w:rFonts w:cs="Arial"/>
          <w:bCs/>
          <w:sz w:val="22"/>
        </w:rPr>
        <w:t>mejoradas</w:t>
      </w:r>
      <w:r>
        <w:rPr>
          <w:rFonts w:cs="Arial"/>
          <w:bCs/>
          <w:sz w:val="22"/>
        </w:rPr>
        <w:t xml:space="preserve"> </w:t>
      </w:r>
      <w:r w:rsidR="004031A9">
        <w:rPr>
          <w:rFonts w:cs="Arial"/>
          <w:bCs/>
          <w:sz w:val="22"/>
        </w:rPr>
        <w:t>otorgándoles</w:t>
      </w:r>
      <w:r>
        <w:rPr>
          <w:rFonts w:cs="Arial"/>
          <w:bCs/>
          <w:sz w:val="22"/>
        </w:rPr>
        <w:t xml:space="preserve"> continuidad y empalmes en su trazo, para dar como resultado un sistema vial jerarquizado e integrado al </w:t>
      </w:r>
      <w:r w:rsidR="004031A9">
        <w:rPr>
          <w:rFonts w:cs="Arial"/>
          <w:bCs/>
          <w:sz w:val="22"/>
        </w:rPr>
        <w:t>área</w:t>
      </w:r>
      <w:r>
        <w:rPr>
          <w:rFonts w:cs="Arial"/>
          <w:bCs/>
          <w:sz w:val="22"/>
        </w:rPr>
        <w:t xml:space="preserve"> urbana distrital  y provincial.</w:t>
      </w:r>
    </w:p>
    <w:p w:rsidR="00406144" w:rsidRDefault="00406144" w:rsidP="009C2945">
      <w:pPr>
        <w:tabs>
          <w:tab w:val="left" w:pos="360"/>
        </w:tabs>
        <w:ind w:left="360"/>
        <w:jc w:val="both"/>
        <w:rPr>
          <w:rFonts w:cs="Arial"/>
          <w:bCs/>
          <w:sz w:val="22"/>
        </w:rPr>
      </w:pPr>
    </w:p>
    <w:p w:rsidR="0051068F" w:rsidRDefault="0051068F" w:rsidP="008A7107">
      <w:pPr>
        <w:pStyle w:val="Sangra2detindependiente"/>
        <w:ind w:left="0"/>
        <w:rPr>
          <w:sz w:val="22"/>
        </w:rPr>
      </w:pPr>
      <w:r>
        <w:rPr>
          <w:bCs w:val="0"/>
          <w:sz w:val="22"/>
        </w:rPr>
        <w:t xml:space="preserve">El estudio define un esquema </w:t>
      </w:r>
      <w:r w:rsidR="004031A9">
        <w:rPr>
          <w:bCs w:val="0"/>
          <w:sz w:val="22"/>
        </w:rPr>
        <w:t>vial</w:t>
      </w:r>
      <w:r>
        <w:rPr>
          <w:bCs w:val="0"/>
          <w:sz w:val="22"/>
        </w:rPr>
        <w:t xml:space="preserve"> principal, que corresponde al sector comprendido entre </w:t>
      </w:r>
      <w:r>
        <w:rPr>
          <w:sz w:val="22"/>
        </w:rPr>
        <w:t xml:space="preserve">la </w:t>
      </w:r>
      <w:r w:rsidR="00726AF8">
        <w:rPr>
          <w:sz w:val="22"/>
        </w:rPr>
        <w:t>Carretera</w:t>
      </w:r>
      <w:r w:rsidR="007C2532">
        <w:rPr>
          <w:sz w:val="22"/>
        </w:rPr>
        <w:t xml:space="preserve"> Panamericana Sur</w:t>
      </w:r>
      <w:r>
        <w:rPr>
          <w:sz w:val="22"/>
        </w:rPr>
        <w:t xml:space="preserve">, la </w:t>
      </w:r>
      <w:r w:rsidR="0038102B">
        <w:rPr>
          <w:sz w:val="22"/>
        </w:rPr>
        <w:t>línea</w:t>
      </w:r>
      <w:r w:rsidR="00F70A31">
        <w:rPr>
          <w:sz w:val="22"/>
        </w:rPr>
        <w:t xml:space="preserve"> proyectada de gas natural al oeste, la Av. “D” al sur y la Avenida “C” al norte</w:t>
      </w:r>
      <w:r>
        <w:rPr>
          <w:sz w:val="22"/>
        </w:rPr>
        <w:t>.</w:t>
      </w:r>
    </w:p>
    <w:p w:rsidR="00480575" w:rsidRPr="0051068F" w:rsidRDefault="0051068F" w:rsidP="009C2945">
      <w:pPr>
        <w:tabs>
          <w:tab w:val="left" w:pos="360"/>
        </w:tabs>
        <w:ind w:left="360"/>
        <w:jc w:val="both"/>
        <w:rPr>
          <w:rFonts w:cs="Arial"/>
          <w:bCs/>
          <w:sz w:val="22"/>
        </w:rPr>
      </w:pPr>
      <w:r>
        <w:rPr>
          <w:rFonts w:cs="Arial"/>
          <w:bCs/>
          <w:sz w:val="22"/>
        </w:rPr>
        <w:t xml:space="preserve"> </w:t>
      </w:r>
    </w:p>
    <w:p w:rsidR="00C93FDF" w:rsidRDefault="00767519" w:rsidP="009C2945">
      <w:pPr>
        <w:tabs>
          <w:tab w:val="left" w:pos="360"/>
        </w:tabs>
        <w:ind w:left="360"/>
        <w:jc w:val="both"/>
        <w:rPr>
          <w:rFonts w:cs="Arial"/>
          <w:b/>
          <w:bCs/>
          <w:sz w:val="22"/>
        </w:rPr>
      </w:pPr>
      <w:r w:rsidRPr="00767519">
        <w:rPr>
          <w:rFonts w:cs="Arial"/>
          <w:b/>
          <w:bCs/>
          <w:sz w:val="22"/>
        </w:rPr>
        <w:t>DISEÑO</w:t>
      </w:r>
      <w:r w:rsidR="00692DEE">
        <w:rPr>
          <w:rFonts w:cs="Arial"/>
          <w:b/>
          <w:bCs/>
          <w:sz w:val="22"/>
        </w:rPr>
        <w:t xml:space="preserve"> DE VIAS</w:t>
      </w:r>
    </w:p>
    <w:p w:rsidR="0051068F" w:rsidRDefault="0051068F" w:rsidP="009C2945">
      <w:pPr>
        <w:tabs>
          <w:tab w:val="left" w:pos="360"/>
        </w:tabs>
        <w:ind w:left="360"/>
        <w:jc w:val="both"/>
        <w:rPr>
          <w:rFonts w:cs="Arial"/>
          <w:b/>
          <w:bCs/>
          <w:sz w:val="22"/>
        </w:rPr>
      </w:pPr>
    </w:p>
    <w:p w:rsidR="00767519" w:rsidRDefault="0051068F" w:rsidP="009C2945">
      <w:pPr>
        <w:tabs>
          <w:tab w:val="left" w:pos="360"/>
        </w:tabs>
        <w:ind w:left="360"/>
        <w:jc w:val="both"/>
        <w:rPr>
          <w:rFonts w:cs="Arial"/>
          <w:bCs/>
          <w:sz w:val="22"/>
        </w:rPr>
      </w:pPr>
      <w:r w:rsidRPr="0051068F">
        <w:rPr>
          <w:rFonts w:cs="Arial"/>
          <w:bCs/>
          <w:sz w:val="22"/>
        </w:rPr>
        <w:t xml:space="preserve">En el diseño de la propuesta </w:t>
      </w:r>
      <w:r>
        <w:rPr>
          <w:rFonts w:cs="Arial"/>
          <w:bCs/>
          <w:sz w:val="22"/>
        </w:rPr>
        <w:t xml:space="preserve">se consideran </w:t>
      </w:r>
      <w:r w:rsidR="00F70A31">
        <w:rPr>
          <w:rFonts w:cs="Arial"/>
          <w:bCs/>
          <w:sz w:val="22"/>
        </w:rPr>
        <w:t>2</w:t>
      </w:r>
      <w:r>
        <w:rPr>
          <w:rFonts w:cs="Arial"/>
          <w:bCs/>
          <w:sz w:val="22"/>
        </w:rPr>
        <w:t xml:space="preserve"> </w:t>
      </w:r>
      <w:r w:rsidR="00692DEE">
        <w:rPr>
          <w:rFonts w:cs="Arial"/>
          <w:bCs/>
          <w:sz w:val="22"/>
        </w:rPr>
        <w:t>vías</w:t>
      </w:r>
      <w:r>
        <w:rPr>
          <w:rFonts w:cs="Arial"/>
          <w:bCs/>
          <w:sz w:val="22"/>
        </w:rPr>
        <w:t xml:space="preserve"> </w:t>
      </w:r>
      <w:r w:rsidR="00F70A31">
        <w:rPr>
          <w:rFonts w:cs="Arial"/>
          <w:bCs/>
          <w:sz w:val="22"/>
        </w:rPr>
        <w:t>colectoras</w:t>
      </w:r>
      <w:r w:rsidR="00692DEE">
        <w:rPr>
          <w:rFonts w:cs="Arial"/>
          <w:bCs/>
          <w:sz w:val="22"/>
        </w:rPr>
        <w:t xml:space="preserve"> y 6</w:t>
      </w:r>
      <w:r w:rsidR="00F70A31">
        <w:rPr>
          <w:rFonts w:cs="Arial"/>
          <w:bCs/>
          <w:sz w:val="22"/>
        </w:rPr>
        <w:t xml:space="preserve"> </w:t>
      </w:r>
      <w:r w:rsidR="00692DEE">
        <w:rPr>
          <w:rFonts w:cs="Arial"/>
          <w:bCs/>
          <w:sz w:val="22"/>
        </w:rPr>
        <w:t>vías</w:t>
      </w:r>
      <w:r w:rsidR="00F70A31">
        <w:rPr>
          <w:rFonts w:cs="Arial"/>
          <w:bCs/>
          <w:sz w:val="22"/>
        </w:rPr>
        <w:t xml:space="preserve"> </w:t>
      </w:r>
      <w:r w:rsidR="00692DEE">
        <w:rPr>
          <w:rFonts w:cs="Arial"/>
          <w:bCs/>
          <w:sz w:val="22"/>
        </w:rPr>
        <w:t>locales</w:t>
      </w:r>
      <w:r w:rsidR="00F70A31">
        <w:rPr>
          <w:rFonts w:cs="Arial"/>
          <w:bCs/>
          <w:sz w:val="22"/>
        </w:rPr>
        <w:t xml:space="preserve"> principales</w:t>
      </w:r>
      <w:r>
        <w:rPr>
          <w:rFonts w:cs="Arial"/>
          <w:bCs/>
          <w:sz w:val="22"/>
        </w:rPr>
        <w:t xml:space="preserve"> cuyas </w:t>
      </w:r>
      <w:r w:rsidR="00406144">
        <w:rPr>
          <w:rFonts w:cs="Arial"/>
          <w:bCs/>
          <w:sz w:val="22"/>
        </w:rPr>
        <w:t>características</w:t>
      </w:r>
      <w:r>
        <w:rPr>
          <w:rFonts w:cs="Arial"/>
          <w:bCs/>
          <w:sz w:val="22"/>
        </w:rPr>
        <w:t xml:space="preserve"> se adecuan a</w:t>
      </w:r>
      <w:r w:rsidR="00F70A31">
        <w:rPr>
          <w:rFonts w:cs="Arial"/>
          <w:bCs/>
          <w:sz w:val="22"/>
        </w:rPr>
        <w:t xml:space="preserve"> </w:t>
      </w:r>
      <w:r>
        <w:rPr>
          <w:rFonts w:cs="Arial"/>
          <w:bCs/>
          <w:sz w:val="22"/>
        </w:rPr>
        <w:t>l</w:t>
      </w:r>
      <w:r w:rsidR="00F70A31">
        <w:rPr>
          <w:rFonts w:cs="Arial"/>
          <w:bCs/>
          <w:sz w:val="22"/>
        </w:rPr>
        <w:t>o</w:t>
      </w:r>
      <w:r>
        <w:rPr>
          <w:rFonts w:cs="Arial"/>
          <w:bCs/>
          <w:sz w:val="22"/>
        </w:rPr>
        <w:t xml:space="preserve"> </w:t>
      </w:r>
      <w:r w:rsidR="00F70A31">
        <w:rPr>
          <w:rFonts w:cs="Arial"/>
          <w:bCs/>
          <w:sz w:val="22"/>
        </w:rPr>
        <w:t xml:space="preserve">establecido en </w:t>
      </w:r>
      <w:r w:rsidR="00692DEE">
        <w:rPr>
          <w:rFonts w:cs="Arial"/>
          <w:bCs/>
          <w:sz w:val="22"/>
        </w:rPr>
        <w:t>el capítulo II de la Norma GH.020 del Reglamento nacional de Edificaciones</w:t>
      </w:r>
      <w:r>
        <w:rPr>
          <w:rFonts w:cs="Arial"/>
          <w:bCs/>
          <w:sz w:val="22"/>
        </w:rPr>
        <w:t>.</w:t>
      </w:r>
    </w:p>
    <w:p w:rsidR="00406144" w:rsidRDefault="00406144" w:rsidP="009C2945">
      <w:pPr>
        <w:tabs>
          <w:tab w:val="left" w:pos="360"/>
        </w:tabs>
        <w:ind w:left="360"/>
        <w:jc w:val="both"/>
        <w:rPr>
          <w:rFonts w:cs="Arial"/>
          <w:bCs/>
          <w:sz w:val="22"/>
        </w:rPr>
      </w:pPr>
    </w:p>
    <w:p w:rsidR="00726AF8" w:rsidRDefault="00692DEE" w:rsidP="009C2945">
      <w:pPr>
        <w:tabs>
          <w:tab w:val="left" w:pos="360"/>
        </w:tabs>
        <w:ind w:left="360"/>
        <w:jc w:val="both"/>
        <w:rPr>
          <w:rFonts w:cs="Arial"/>
          <w:bCs/>
          <w:sz w:val="22"/>
        </w:rPr>
      </w:pPr>
      <w:r>
        <w:rPr>
          <w:rFonts w:cs="Arial"/>
          <w:bCs/>
          <w:sz w:val="22"/>
        </w:rPr>
        <w:t xml:space="preserve">Dos de las </w:t>
      </w:r>
      <w:r w:rsidR="00726AF8">
        <w:rPr>
          <w:rFonts w:cs="Arial"/>
          <w:bCs/>
          <w:sz w:val="22"/>
        </w:rPr>
        <w:t>vías</w:t>
      </w:r>
      <w:r>
        <w:rPr>
          <w:rFonts w:cs="Arial"/>
          <w:bCs/>
          <w:sz w:val="22"/>
        </w:rPr>
        <w:t xml:space="preserve"> propuestas </w:t>
      </w:r>
      <w:r w:rsidR="00726AF8">
        <w:rPr>
          <w:rFonts w:cs="Arial"/>
          <w:bCs/>
          <w:sz w:val="22"/>
        </w:rPr>
        <w:t xml:space="preserve">como colectoras </w:t>
      </w:r>
      <w:r>
        <w:rPr>
          <w:rFonts w:cs="Arial"/>
          <w:bCs/>
          <w:sz w:val="22"/>
        </w:rPr>
        <w:t>las constituyen la Carretera Panamericana Sur</w:t>
      </w:r>
      <w:r w:rsidR="00726AF8">
        <w:rPr>
          <w:rFonts w:cs="Arial"/>
          <w:bCs/>
          <w:sz w:val="22"/>
        </w:rPr>
        <w:t>, cuya sección ya está aprobada</w:t>
      </w:r>
      <w:r>
        <w:rPr>
          <w:rFonts w:cs="Arial"/>
          <w:bCs/>
          <w:sz w:val="22"/>
        </w:rPr>
        <w:t xml:space="preserve"> y la </w:t>
      </w:r>
      <w:r w:rsidR="00726AF8">
        <w:rPr>
          <w:rFonts w:cs="Arial"/>
          <w:bCs/>
          <w:sz w:val="22"/>
        </w:rPr>
        <w:t xml:space="preserve">colectora denominada Avenida “N”, paralela a aquella, con una sección de 38.70 m., que cruza la Sección 3 y albergara la línea de </w:t>
      </w:r>
      <w:r w:rsidR="00594214" w:rsidRPr="00594214">
        <w:rPr>
          <w:rFonts w:cs="Arial"/>
          <w:bCs/>
          <w:sz w:val="22"/>
        </w:rPr>
        <w:t xml:space="preserve">transmisión 220 </w:t>
      </w:r>
      <w:proofErr w:type="spellStart"/>
      <w:r w:rsidR="00594214" w:rsidRPr="00594214">
        <w:rPr>
          <w:rFonts w:cs="Arial"/>
          <w:bCs/>
          <w:sz w:val="22"/>
        </w:rPr>
        <w:t>kV</w:t>
      </w:r>
      <w:proofErr w:type="spellEnd"/>
      <w:r w:rsidR="00594214" w:rsidRPr="00594214">
        <w:rPr>
          <w:rFonts w:cs="Arial"/>
          <w:bCs/>
          <w:sz w:val="22"/>
        </w:rPr>
        <w:t xml:space="preserve"> Chilca - Cantera L2090.</w:t>
      </w:r>
      <w:r w:rsidR="00726AF8">
        <w:rPr>
          <w:rFonts w:cs="Arial"/>
          <w:bCs/>
          <w:sz w:val="22"/>
        </w:rPr>
        <w:t xml:space="preserve">existente de la concesionaria </w:t>
      </w:r>
      <w:r w:rsidR="00594214">
        <w:rPr>
          <w:rFonts w:cs="Arial"/>
          <w:bCs/>
          <w:sz w:val="22"/>
        </w:rPr>
        <w:t xml:space="preserve">Red de energía eléctrica del </w:t>
      </w:r>
      <w:r w:rsidR="0038102B">
        <w:rPr>
          <w:rFonts w:cs="Arial"/>
          <w:bCs/>
          <w:sz w:val="22"/>
        </w:rPr>
        <w:t>Perú</w:t>
      </w:r>
      <w:r w:rsidR="00594214">
        <w:rPr>
          <w:rFonts w:cs="Arial"/>
          <w:bCs/>
          <w:sz w:val="22"/>
        </w:rPr>
        <w:t xml:space="preserve"> S.A., </w:t>
      </w:r>
      <w:r w:rsidR="00726AF8">
        <w:rPr>
          <w:rFonts w:cs="Arial"/>
          <w:bCs/>
          <w:sz w:val="22"/>
        </w:rPr>
        <w:t xml:space="preserve">cuyo eje de trazo coincide con el de la </w:t>
      </w:r>
      <w:r w:rsidR="008F171F">
        <w:rPr>
          <w:rFonts w:cs="Arial"/>
          <w:bCs/>
          <w:sz w:val="22"/>
        </w:rPr>
        <w:t>vía</w:t>
      </w:r>
      <w:r w:rsidR="00726AF8">
        <w:rPr>
          <w:rFonts w:cs="Arial"/>
          <w:bCs/>
          <w:sz w:val="22"/>
        </w:rPr>
        <w:t xml:space="preserve"> propuesta.</w:t>
      </w:r>
    </w:p>
    <w:p w:rsidR="00594214" w:rsidRDefault="00594214" w:rsidP="009C2945">
      <w:pPr>
        <w:tabs>
          <w:tab w:val="left" w:pos="360"/>
        </w:tabs>
        <w:ind w:left="360"/>
        <w:jc w:val="both"/>
        <w:rPr>
          <w:rFonts w:cs="Arial"/>
          <w:bCs/>
          <w:sz w:val="22"/>
        </w:rPr>
      </w:pPr>
    </w:p>
    <w:p w:rsidR="0051068F" w:rsidRDefault="00726AF8" w:rsidP="009C2945">
      <w:pPr>
        <w:tabs>
          <w:tab w:val="left" w:pos="360"/>
        </w:tabs>
        <w:ind w:left="360"/>
        <w:jc w:val="both"/>
        <w:rPr>
          <w:rFonts w:cs="Arial"/>
          <w:bCs/>
          <w:sz w:val="22"/>
        </w:rPr>
      </w:pPr>
      <w:r>
        <w:rPr>
          <w:rFonts w:cs="Arial"/>
          <w:bCs/>
          <w:sz w:val="22"/>
        </w:rPr>
        <w:t xml:space="preserve">Las </w:t>
      </w:r>
      <w:r w:rsidR="0038102B">
        <w:rPr>
          <w:rFonts w:cs="Arial"/>
          <w:bCs/>
          <w:sz w:val="22"/>
        </w:rPr>
        <w:t>vías</w:t>
      </w:r>
      <w:r>
        <w:rPr>
          <w:rFonts w:cs="Arial"/>
          <w:bCs/>
          <w:sz w:val="22"/>
        </w:rPr>
        <w:t xml:space="preserve"> locales primarias paralelas a la Carretera Panamericana Sur denominadas Avenida proyección </w:t>
      </w:r>
      <w:r w:rsidR="004028A5">
        <w:rPr>
          <w:rFonts w:cs="Arial"/>
          <w:bCs/>
          <w:sz w:val="22"/>
        </w:rPr>
        <w:t xml:space="preserve">avenida San </w:t>
      </w:r>
      <w:r w:rsidR="0038102B">
        <w:rPr>
          <w:rFonts w:cs="Arial"/>
          <w:bCs/>
          <w:sz w:val="22"/>
        </w:rPr>
        <w:t>Hilarión</w:t>
      </w:r>
      <w:r w:rsidR="004028A5">
        <w:rPr>
          <w:rFonts w:cs="Arial"/>
          <w:bCs/>
          <w:sz w:val="22"/>
        </w:rPr>
        <w:t xml:space="preserve"> y Avenida “F” tienen secciones de 27.20 m. y 23.90 m. respectivamente</w:t>
      </w:r>
      <w:r w:rsidR="00594214">
        <w:rPr>
          <w:rFonts w:cs="Arial"/>
          <w:bCs/>
          <w:sz w:val="22"/>
        </w:rPr>
        <w:t>.</w:t>
      </w:r>
    </w:p>
    <w:p w:rsidR="00594214" w:rsidRDefault="00594214" w:rsidP="009C2945">
      <w:pPr>
        <w:tabs>
          <w:tab w:val="left" w:pos="360"/>
        </w:tabs>
        <w:ind w:left="360"/>
        <w:jc w:val="both"/>
        <w:rPr>
          <w:rFonts w:cs="Arial"/>
          <w:bCs/>
          <w:sz w:val="22"/>
        </w:rPr>
      </w:pPr>
    </w:p>
    <w:p w:rsidR="00594214" w:rsidRDefault="00594214" w:rsidP="009C2945">
      <w:pPr>
        <w:tabs>
          <w:tab w:val="left" w:pos="360"/>
        </w:tabs>
        <w:ind w:left="360"/>
        <w:jc w:val="both"/>
        <w:rPr>
          <w:rFonts w:cs="Arial"/>
          <w:bCs/>
          <w:sz w:val="22"/>
        </w:rPr>
      </w:pPr>
      <w:r>
        <w:rPr>
          <w:rFonts w:cs="Arial"/>
          <w:bCs/>
          <w:sz w:val="22"/>
        </w:rPr>
        <w:lastRenderedPageBreak/>
        <w:t xml:space="preserve">Cabe precisar que esta propuesta incluye una red de ciclovias a fin de dar facilidades para el uso de transporte ligero, contribuyendo con la disminución de contaminación en la zona industrial propuesta. </w:t>
      </w:r>
    </w:p>
    <w:p w:rsidR="004028A5" w:rsidRDefault="004028A5" w:rsidP="009C2945">
      <w:pPr>
        <w:tabs>
          <w:tab w:val="left" w:pos="360"/>
        </w:tabs>
        <w:ind w:left="360"/>
        <w:jc w:val="both"/>
        <w:rPr>
          <w:rFonts w:cs="Arial"/>
          <w:bCs/>
          <w:sz w:val="22"/>
        </w:rPr>
      </w:pPr>
    </w:p>
    <w:p w:rsidR="00767519" w:rsidRPr="00767519" w:rsidRDefault="00767519" w:rsidP="00BD139C">
      <w:pPr>
        <w:tabs>
          <w:tab w:val="left" w:pos="360"/>
        </w:tabs>
        <w:jc w:val="both"/>
        <w:rPr>
          <w:rFonts w:cs="Arial"/>
          <w:b/>
          <w:bCs/>
          <w:sz w:val="22"/>
        </w:rPr>
      </w:pPr>
      <w:r w:rsidRPr="00767519">
        <w:rPr>
          <w:rFonts w:cs="Arial"/>
          <w:b/>
          <w:bCs/>
          <w:sz w:val="22"/>
        </w:rPr>
        <w:t>ZONIFICACION</w:t>
      </w:r>
    </w:p>
    <w:p w:rsidR="00C93FDF" w:rsidRDefault="0051068F" w:rsidP="009C2945">
      <w:pPr>
        <w:tabs>
          <w:tab w:val="left" w:pos="360"/>
        </w:tabs>
        <w:ind w:left="360"/>
        <w:jc w:val="both"/>
        <w:rPr>
          <w:rFonts w:cs="Arial"/>
          <w:bCs/>
          <w:sz w:val="22"/>
        </w:rPr>
      </w:pPr>
      <w:r>
        <w:rPr>
          <w:rFonts w:cs="Arial"/>
          <w:bCs/>
          <w:sz w:val="22"/>
        </w:rPr>
        <w:t xml:space="preserve"> La </w:t>
      </w:r>
      <w:r w:rsidR="00726AF8">
        <w:rPr>
          <w:rFonts w:cs="Arial"/>
          <w:bCs/>
          <w:sz w:val="22"/>
        </w:rPr>
        <w:t>zonificación</w:t>
      </w:r>
      <w:r>
        <w:rPr>
          <w:rFonts w:cs="Arial"/>
          <w:bCs/>
          <w:sz w:val="22"/>
        </w:rPr>
        <w:t xml:space="preserve"> </w:t>
      </w:r>
      <w:r w:rsidR="00594214">
        <w:rPr>
          <w:rFonts w:cs="Arial"/>
          <w:bCs/>
          <w:sz w:val="22"/>
        </w:rPr>
        <w:t>propuesta es de usos industriales desde el I2 al I4 consolidando los usos que ya se vienen instalando en el sector, permitiendo un crecimiento urbano ordenado.</w:t>
      </w:r>
    </w:p>
    <w:p w:rsidR="00D2699C" w:rsidRDefault="00D2699C" w:rsidP="00165CE5">
      <w:pPr>
        <w:jc w:val="both"/>
        <w:rPr>
          <w:rFonts w:cs="Arial"/>
          <w:b/>
          <w:caps/>
          <w:sz w:val="22"/>
        </w:rPr>
      </w:pPr>
    </w:p>
    <w:p w:rsidR="00D2699C" w:rsidRDefault="00D2699C" w:rsidP="00165CE5">
      <w:pPr>
        <w:jc w:val="both"/>
        <w:rPr>
          <w:rFonts w:cs="Arial"/>
          <w:b/>
          <w:caps/>
          <w:sz w:val="22"/>
        </w:rPr>
      </w:pPr>
    </w:p>
    <w:p w:rsidR="00165CE5" w:rsidRDefault="002C1DFF" w:rsidP="00BD139C">
      <w:pPr>
        <w:jc w:val="both"/>
        <w:rPr>
          <w:rFonts w:cs="Arial"/>
          <w:b/>
          <w:caps/>
          <w:sz w:val="22"/>
        </w:rPr>
      </w:pPr>
      <w:r w:rsidRPr="002C1DFF">
        <w:rPr>
          <w:rFonts w:cs="Arial"/>
          <w:b/>
          <w:caps/>
          <w:sz w:val="22"/>
        </w:rPr>
        <w:t>APORTES REGLAMENTARIOS</w:t>
      </w:r>
    </w:p>
    <w:p w:rsidR="0038102B" w:rsidRDefault="0038102B" w:rsidP="00BD139C">
      <w:pPr>
        <w:jc w:val="both"/>
        <w:rPr>
          <w:rFonts w:cs="Arial"/>
          <w:b/>
          <w:caps/>
          <w:sz w:val="22"/>
        </w:rPr>
      </w:pPr>
    </w:p>
    <w:p w:rsidR="00480575" w:rsidRPr="0038102B" w:rsidRDefault="0038102B" w:rsidP="00165CE5">
      <w:pPr>
        <w:jc w:val="both"/>
        <w:rPr>
          <w:rFonts w:cs="Arial"/>
          <w:caps/>
          <w:sz w:val="22"/>
        </w:rPr>
      </w:pPr>
      <w:r>
        <w:rPr>
          <w:rFonts w:cs="Arial"/>
          <w:sz w:val="22"/>
        </w:rPr>
        <w:t>D</w:t>
      </w:r>
      <w:r w:rsidRPr="0038102B">
        <w:rPr>
          <w:rFonts w:cs="Arial"/>
          <w:sz w:val="22"/>
        </w:rPr>
        <w:t xml:space="preserve">e conformidad con lo que establece el artículo 5° de la </w:t>
      </w:r>
      <w:r>
        <w:rPr>
          <w:rFonts w:cs="Arial"/>
          <w:sz w:val="22"/>
        </w:rPr>
        <w:t>N</w:t>
      </w:r>
      <w:r w:rsidRPr="0038102B">
        <w:rPr>
          <w:rFonts w:cs="Arial"/>
          <w:sz w:val="22"/>
        </w:rPr>
        <w:t xml:space="preserve">orma </w:t>
      </w:r>
      <w:r>
        <w:rPr>
          <w:rFonts w:cs="Arial"/>
          <w:sz w:val="22"/>
        </w:rPr>
        <w:t>TH</w:t>
      </w:r>
      <w:r w:rsidRPr="0038102B">
        <w:rPr>
          <w:rFonts w:cs="Arial"/>
          <w:sz w:val="22"/>
        </w:rPr>
        <w:t xml:space="preserve">.030 del </w:t>
      </w:r>
      <w:r>
        <w:rPr>
          <w:rFonts w:cs="Arial"/>
          <w:sz w:val="22"/>
        </w:rPr>
        <w:t>R</w:t>
      </w:r>
      <w:r w:rsidRPr="0038102B">
        <w:rPr>
          <w:rFonts w:cs="Arial"/>
          <w:sz w:val="22"/>
        </w:rPr>
        <w:t xml:space="preserve">eglamento </w:t>
      </w:r>
      <w:r>
        <w:rPr>
          <w:rFonts w:cs="Arial"/>
          <w:sz w:val="22"/>
        </w:rPr>
        <w:t>N</w:t>
      </w:r>
      <w:r w:rsidRPr="0038102B">
        <w:rPr>
          <w:rFonts w:cs="Arial"/>
          <w:sz w:val="22"/>
        </w:rPr>
        <w:t xml:space="preserve">acional de </w:t>
      </w:r>
      <w:r>
        <w:rPr>
          <w:rFonts w:cs="Arial"/>
          <w:sz w:val="22"/>
        </w:rPr>
        <w:t>E</w:t>
      </w:r>
      <w:r w:rsidRPr="0038102B">
        <w:rPr>
          <w:rFonts w:cs="Arial"/>
          <w:sz w:val="22"/>
        </w:rPr>
        <w:t>dificaciones las habilitaciones urbanas de tipo industrial para gran industria deberá ceder los aportes reglamentarios según el cuadro siguiente</w:t>
      </w:r>
      <w:r w:rsidR="001B61FA">
        <w:rPr>
          <w:rFonts w:cs="Arial"/>
          <w:sz w:val="22"/>
        </w:rPr>
        <w:t>, cuyos aportes en el caso del lote 3 serán los siguientes</w:t>
      </w:r>
      <w:r w:rsidRPr="0038102B">
        <w:rPr>
          <w:rFonts w:cs="Arial"/>
          <w:sz w:val="22"/>
        </w:rPr>
        <w:t>:</w:t>
      </w:r>
    </w:p>
    <w:p w:rsidR="00C93FDF" w:rsidRDefault="00C93FDF" w:rsidP="00DA282F">
      <w:pPr>
        <w:jc w:val="both"/>
        <w:rPr>
          <w:sz w:val="22"/>
          <w:szCs w:val="22"/>
        </w:rPr>
      </w:pPr>
    </w:p>
    <w:p w:rsidR="00DA282F" w:rsidRDefault="00DA282F" w:rsidP="00DA282F">
      <w:pPr>
        <w:jc w:val="center"/>
        <w:rPr>
          <w:sz w:val="22"/>
          <w:szCs w:val="22"/>
        </w:rPr>
      </w:pPr>
    </w:p>
    <w:p w:rsidR="0038102B" w:rsidRDefault="0038102B" w:rsidP="00DA282F">
      <w:pPr>
        <w:jc w:val="center"/>
        <w:rPr>
          <w:sz w:val="22"/>
          <w:szCs w:val="22"/>
        </w:rPr>
      </w:pPr>
    </w:p>
    <w:p w:rsidR="0038102B" w:rsidRDefault="001B61FA" w:rsidP="00DA282F">
      <w:pPr>
        <w:jc w:val="center"/>
        <w:rPr>
          <w:sz w:val="22"/>
          <w:szCs w:val="22"/>
        </w:rPr>
      </w:pPr>
      <w:r>
        <w:rPr>
          <w:noProof/>
          <w:lang w:eastAsia="es-PE"/>
        </w:rPr>
        <w:drawing>
          <wp:inline distT="0" distB="0" distL="0" distR="0" wp14:anchorId="53D137D1" wp14:editId="510F7831">
            <wp:extent cx="4782059" cy="1710466"/>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5857" t="29005" r="19910" b="40363"/>
                    <a:stretch/>
                  </pic:blipFill>
                  <pic:spPr bwMode="auto">
                    <a:xfrm>
                      <a:off x="0" y="0"/>
                      <a:ext cx="4885991" cy="1747641"/>
                    </a:xfrm>
                    <a:prstGeom prst="rect">
                      <a:avLst/>
                    </a:prstGeom>
                    <a:ln>
                      <a:noFill/>
                    </a:ln>
                    <a:extLst>
                      <a:ext uri="{53640926-AAD7-44D8-BBD7-CCE9431645EC}">
                        <a14:shadowObscured xmlns:a14="http://schemas.microsoft.com/office/drawing/2010/main"/>
                      </a:ext>
                    </a:extLst>
                  </pic:spPr>
                </pic:pic>
              </a:graphicData>
            </a:graphic>
          </wp:inline>
        </w:drawing>
      </w:r>
    </w:p>
    <w:p w:rsidR="0038102B" w:rsidRDefault="0038102B" w:rsidP="00DA282F">
      <w:pPr>
        <w:jc w:val="center"/>
        <w:rPr>
          <w:sz w:val="22"/>
          <w:szCs w:val="22"/>
        </w:rPr>
      </w:pPr>
    </w:p>
    <w:p w:rsidR="00DA282F" w:rsidRDefault="00DA282F" w:rsidP="00DA282F">
      <w:pPr>
        <w:jc w:val="center"/>
        <w:rPr>
          <w:sz w:val="22"/>
          <w:szCs w:val="22"/>
        </w:rPr>
      </w:pPr>
    </w:p>
    <w:p w:rsidR="00DA282F" w:rsidRDefault="00DA282F" w:rsidP="00DA282F">
      <w:pPr>
        <w:jc w:val="center"/>
        <w:rPr>
          <w:sz w:val="22"/>
          <w:szCs w:val="22"/>
        </w:rPr>
      </w:pPr>
    </w:p>
    <w:p w:rsidR="001B61FA" w:rsidRDefault="001B61FA" w:rsidP="00DA282F">
      <w:pPr>
        <w:jc w:val="center"/>
        <w:rPr>
          <w:sz w:val="22"/>
          <w:szCs w:val="22"/>
        </w:rPr>
      </w:pPr>
    </w:p>
    <w:p w:rsidR="001B61FA" w:rsidRDefault="001B61FA" w:rsidP="00DA282F">
      <w:pPr>
        <w:jc w:val="center"/>
        <w:rPr>
          <w:sz w:val="22"/>
          <w:szCs w:val="22"/>
        </w:rPr>
      </w:pPr>
    </w:p>
    <w:p w:rsidR="00DA282F" w:rsidRDefault="00DA282F" w:rsidP="00DA282F">
      <w:pPr>
        <w:tabs>
          <w:tab w:val="left" w:pos="5660"/>
        </w:tabs>
        <w:ind w:left="360"/>
        <w:jc w:val="center"/>
        <w:rPr>
          <w:rFonts w:cs="Arial"/>
          <w:bCs/>
          <w:sz w:val="22"/>
        </w:rPr>
      </w:pPr>
      <w:r>
        <w:rPr>
          <w:rFonts w:cs="Arial"/>
          <w:bCs/>
          <w:sz w:val="22"/>
        </w:rPr>
        <w:t>-------------------------------------------</w:t>
      </w:r>
    </w:p>
    <w:p w:rsidR="00DA282F" w:rsidRPr="00FD3E18" w:rsidRDefault="00DA282F" w:rsidP="00DA282F">
      <w:pPr>
        <w:tabs>
          <w:tab w:val="left" w:pos="5660"/>
        </w:tabs>
        <w:ind w:left="360"/>
        <w:jc w:val="center"/>
        <w:rPr>
          <w:rFonts w:cs="Arial"/>
          <w:bCs/>
          <w:sz w:val="20"/>
          <w:szCs w:val="20"/>
        </w:rPr>
      </w:pPr>
      <w:r w:rsidRPr="00FD3E18">
        <w:rPr>
          <w:rFonts w:cs="Arial"/>
          <w:bCs/>
          <w:sz w:val="20"/>
          <w:szCs w:val="20"/>
        </w:rPr>
        <w:t xml:space="preserve">Arq. </w:t>
      </w:r>
      <w:r w:rsidR="008F401D">
        <w:rPr>
          <w:rFonts w:cs="Arial"/>
          <w:bCs/>
          <w:sz w:val="20"/>
          <w:szCs w:val="20"/>
        </w:rPr>
        <w:t>Eric Antonio Tavara Castillo</w:t>
      </w:r>
    </w:p>
    <w:p w:rsidR="003C0562" w:rsidRDefault="008F401D" w:rsidP="00DA282F">
      <w:pPr>
        <w:tabs>
          <w:tab w:val="left" w:pos="5660"/>
        </w:tabs>
        <w:ind w:left="360"/>
        <w:jc w:val="center"/>
        <w:rPr>
          <w:rFonts w:cs="Arial"/>
          <w:bCs/>
          <w:sz w:val="20"/>
          <w:szCs w:val="20"/>
        </w:rPr>
      </w:pPr>
      <w:r>
        <w:rPr>
          <w:rFonts w:cs="Arial"/>
          <w:bCs/>
          <w:sz w:val="20"/>
          <w:szCs w:val="20"/>
        </w:rPr>
        <w:t>CAP. No 306</w:t>
      </w:r>
      <w:r w:rsidR="00DA282F" w:rsidRPr="00FD3E18">
        <w:rPr>
          <w:rFonts w:cs="Arial"/>
          <w:bCs/>
          <w:sz w:val="20"/>
          <w:szCs w:val="20"/>
        </w:rPr>
        <w:t>1</w:t>
      </w: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3C0562" w:rsidRDefault="003C0562" w:rsidP="00DA282F">
      <w:pPr>
        <w:tabs>
          <w:tab w:val="left" w:pos="5660"/>
        </w:tabs>
        <w:ind w:left="360"/>
        <w:jc w:val="center"/>
        <w:rPr>
          <w:rFonts w:cs="Arial"/>
          <w:bCs/>
          <w:sz w:val="20"/>
          <w:szCs w:val="20"/>
        </w:rPr>
      </w:pPr>
    </w:p>
    <w:p w:rsidR="009E04B2" w:rsidRPr="00F84D4B" w:rsidRDefault="009E04B2" w:rsidP="003C0562">
      <w:pPr>
        <w:ind w:left="1416"/>
        <w:jc w:val="both"/>
      </w:pPr>
    </w:p>
    <w:sectPr w:rsidR="009E04B2" w:rsidRPr="00F84D4B" w:rsidSect="00F84D4B">
      <w:pgSz w:w="11906" w:h="16838"/>
      <w:pgMar w:top="1701" w:right="1701" w:bottom="1701" w:left="187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03FA"/>
    <w:multiLevelType w:val="hybridMultilevel"/>
    <w:tmpl w:val="2DEC3450"/>
    <w:lvl w:ilvl="0" w:tplc="4EB62FB8">
      <w:start w:val="1"/>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nsid w:val="12C95021"/>
    <w:multiLevelType w:val="hybridMultilevel"/>
    <w:tmpl w:val="DA7C8ABA"/>
    <w:lvl w:ilvl="0" w:tplc="3F261668">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373E16C4"/>
    <w:multiLevelType w:val="hybridMultilevel"/>
    <w:tmpl w:val="6758089E"/>
    <w:lvl w:ilvl="0" w:tplc="CEF05A3E">
      <w:start w:val="2"/>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
    <w:nsid w:val="39C6333C"/>
    <w:multiLevelType w:val="hybridMultilevel"/>
    <w:tmpl w:val="BCF0E252"/>
    <w:lvl w:ilvl="0" w:tplc="5588D890">
      <w:start w:val="1"/>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
    <w:nsid w:val="3D6B643D"/>
    <w:multiLevelType w:val="hybridMultilevel"/>
    <w:tmpl w:val="00DA0E0A"/>
    <w:lvl w:ilvl="0" w:tplc="CAE6848A">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2FD760F"/>
    <w:multiLevelType w:val="hybridMultilevel"/>
    <w:tmpl w:val="AFC4715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72960F7"/>
    <w:multiLevelType w:val="hybridMultilevel"/>
    <w:tmpl w:val="66E4A4F2"/>
    <w:lvl w:ilvl="0" w:tplc="0C0A000F">
      <w:start w:val="1"/>
      <w:numFmt w:val="decimal"/>
      <w:lvlText w:val="%1."/>
      <w:lvlJc w:val="left"/>
      <w:pPr>
        <w:tabs>
          <w:tab w:val="num" w:pos="1065"/>
        </w:tabs>
        <w:ind w:left="1065" w:hanging="360"/>
      </w:p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7">
    <w:nsid w:val="68363992"/>
    <w:multiLevelType w:val="hybridMultilevel"/>
    <w:tmpl w:val="B5226924"/>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8">
    <w:nsid w:val="7B9430BA"/>
    <w:multiLevelType w:val="hybridMultilevel"/>
    <w:tmpl w:val="2DEC3450"/>
    <w:lvl w:ilvl="0" w:tplc="4EB62FB8">
      <w:start w:val="1"/>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num w:numId="1">
    <w:abstractNumId w:val="7"/>
  </w:num>
  <w:num w:numId="2">
    <w:abstractNumId w:val="3"/>
  </w:num>
  <w:num w:numId="3">
    <w:abstractNumId w:val="8"/>
  </w:num>
  <w:num w:numId="4">
    <w:abstractNumId w:val="6"/>
  </w:num>
  <w:num w:numId="5">
    <w:abstractNumId w:val="1"/>
  </w:num>
  <w:num w:numId="6">
    <w:abstractNumId w:val="5"/>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D4B"/>
    <w:rsid w:val="00010F0D"/>
    <w:rsid w:val="0001475F"/>
    <w:rsid w:val="00023E0A"/>
    <w:rsid w:val="0003181F"/>
    <w:rsid w:val="00034E0A"/>
    <w:rsid w:val="00074E67"/>
    <w:rsid w:val="0008007E"/>
    <w:rsid w:val="00080C0E"/>
    <w:rsid w:val="000841B7"/>
    <w:rsid w:val="000A0AA6"/>
    <w:rsid w:val="000B53B4"/>
    <w:rsid w:val="000D636D"/>
    <w:rsid w:val="000D6938"/>
    <w:rsid w:val="000E495F"/>
    <w:rsid w:val="001227E6"/>
    <w:rsid w:val="00136256"/>
    <w:rsid w:val="00142A9A"/>
    <w:rsid w:val="00150FC9"/>
    <w:rsid w:val="00156062"/>
    <w:rsid w:val="00165CE5"/>
    <w:rsid w:val="0016699B"/>
    <w:rsid w:val="00166F69"/>
    <w:rsid w:val="00177AC4"/>
    <w:rsid w:val="001B61FA"/>
    <w:rsid w:val="001C7B0F"/>
    <w:rsid w:val="001E7370"/>
    <w:rsid w:val="00204583"/>
    <w:rsid w:val="00217103"/>
    <w:rsid w:val="00217271"/>
    <w:rsid w:val="002722FC"/>
    <w:rsid w:val="00272C8F"/>
    <w:rsid w:val="002968C8"/>
    <w:rsid w:val="002C1DFF"/>
    <w:rsid w:val="002D6ED4"/>
    <w:rsid w:val="0030090C"/>
    <w:rsid w:val="0031037B"/>
    <w:rsid w:val="00311445"/>
    <w:rsid w:val="00377BBC"/>
    <w:rsid w:val="0038102B"/>
    <w:rsid w:val="00396D8F"/>
    <w:rsid w:val="003C0562"/>
    <w:rsid w:val="003D03C7"/>
    <w:rsid w:val="003D57CE"/>
    <w:rsid w:val="003D674B"/>
    <w:rsid w:val="003E3C1D"/>
    <w:rsid w:val="004028A5"/>
    <w:rsid w:val="004031A9"/>
    <w:rsid w:val="00406144"/>
    <w:rsid w:val="004351B9"/>
    <w:rsid w:val="00441021"/>
    <w:rsid w:val="00442AA7"/>
    <w:rsid w:val="004627DB"/>
    <w:rsid w:val="00480575"/>
    <w:rsid w:val="00485BF8"/>
    <w:rsid w:val="004F2EE2"/>
    <w:rsid w:val="00501F85"/>
    <w:rsid w:val="0050595F"/>
    <w:rsid w:val="00506C76"/>
    <w:rsid w:val="0051068F"/>
    <w:rsid w:val="00516861"/>
    <w:rsid w:val="0051694C"/>
    <w:rsid w:val="0053172F"/>
    <w:rsid w:val="00594214"/>
    <w:rsid w:val="00595B22"/>
    <w:rsid w:val="005D493B"/>
    <w:rsid w:val="006213AD"/>
    <w:rsid w:val="00623B22"/>
    <w:rsid w:val="0068280F"/>
    <w:rsid w:val="00692DEE"/>
    <w:rsid w:val="006A5F09"/>
    <w:rsid w:val="006B7E1B"/>
    <w:rsid w:val="00726AF8"/>
    <w:rsid w:val="007617D2"/>
    <w:rsid w:val="00767519"/>
    <w:rsid w:val="00795EDF"/>
    <w:rsid w:val="007C2532"/>
    <w:rsid w:val="007D5436"/>
    <w:rsid w:val="007E7AE4"/>
    <w:rsid w:val="007F3C4B"/>
    <w:rsid w:val="00812FDB"/>
    <w:rsid w:val="008156CD"/>
    <w:rsid w:val="008328D9"/>
    <w:rsid w:val="00857581"/>
    <w:rsid w:val="00866F23"/>
    <w:rsid w:val="008A7107"/>
    <w:rsid w:val="008D0D56"/>
    <w:rsid w:val="008E7186"/>
    <w:rsid w:val="008F171F"/>
    <w:rsid w:val="008F401D"/>
    <w:rsid w:val="008F7E88"/>
    <w:rsid w:val="00921F78"/>
    <w:rsid w:val="00976C16"/>
    <w:rsid w:val="009A5AE4"/>
    <w:rsid w:val="009C2945"/>
    <w:rsid w:val="009E04B2"/>
    <w:rsid w:val="009E6715"/>
    <w:rsid w:val="009E754C"/>
    <w:rsid w:val="009F301E"/>
    <w:rsid w:val="009F486F"/>
    <w:rsid w:val="00A00F6B"/>
    <w:rsid w:val="00A26BF5"/>
    <w:rsid w:val="00A51224"/>
    <w:rsid w:val="00AA0432"/>
    <w:rsid w:val="00AB4A4B"/>
    <w:rsid w:val="00AD55BC"/>
    <w:rsid w:val="00AE1025"/>
    <w:rsid w:val="00B046FC"/>
    <w:rsid w:val="00B654A6"/>
    <w:rsid w:val="00B67137"/>
    <w:rsid w:val="00B97EFC"/>
    <w:rsid w:val="00BD139C"/>
    <w:rsid w:val="00C02055"/>
    <w:rsid w:val="00C10707"/>
    <w:rsid w:val="00C93FDF"/>
    <w:rsid w:val="00CD0FBF"/>
    <w:rsid w:val="00CE789F"/>
    <w:rsid w:val="00CF1149"/>
    <w:rsid w:val="00D2699C"/>
    <w:rsid w:val="00D36DBA"/>
    <w:rsid w:val="00D71E06"/>
    <w:rsid w:val="00D83860"/>
    <w:rsid w:val="00DA282F"/>
    <w:rsid w:val="00DC39AA"/>
    <w:rsid w:val="00DC4E3F"/>
    <w:rsid w:val="00DD6041"/>
    <w:rsid w:val="00DF5B51"/>
    <w:rsid w:val="00E0661F"/>
    <w:rsid w:val="00E10FF8"/>
    <w:rsid w:val="00E2010B"/>
    <w:rsid w:val="00E20BB9"/>
    <w:rsid w:val="00E62D64"/>
    <w:rsid w:val="00E659F9"/>
    <w:rsid w:val="00E6791E"/>
    <w:rsid w:val="00EB0984"/>
    <w:rsid w:val="00EE72C6"/>
    <w:rsid w:val="00F1272B"/>
    <w:rsid w:val="00F14273"/>
    <w:rsid w:val="00F17AF8"/>
    <w:rsid w:val="00F70A31"/>
    <w:rsid w:val="00F82F4F"/>
    <w:rsid w:val="00F84D4B"/>
    <w:rsid w:val="00F96F33"/>
    <w:rsid w:val="00F97650"/>
    <w:rsid w:val="00FA78EA"/>
    <w:rsid w:val="00FB792A"/>
    <w:rsid w:val="00FD3E18"/>
    <w:rsid w:val="00FF0F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7AD6D9-A20E-485E-B8A2-6CF61E46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EFC"/>
    <w:rPr>
      <w:rFonts w:ascii="Arial" w:hAnsi="Arial"/>
      <w:sz w:val="24"/>
      <w:szCs w:val="24"/>
      <w:lang w:val="es-PE"/>
    </w:rPr>
  </w:style>
  <w:style w:type="paragraph" w:styleId="Ttulo2">
    <w:name w:val="heading 2"/>
    <w:basedOn w:val="Normal"/>
    <w:next w:val="Normal"/>
    <w:qFormat/>
    <w:rsid w:val="00F84D4B"/>
    <w:pPr>
      <w:keepNext/>
      <w:tabs>
        <w:tab w:val="left" w:pos="5660"/>
      </w:tabs>
      <w:jc w:val="both"/>
      <w:outlineLvl w:val="1"/>
    </w:pPr>
    <w:rPr>
      <w:rFonts w:cs="Arial"/>
      <w:b/>
      <w:sz w:val="22"/>
      <w:szCs w:val="20"/>
    </w:rPr>
  </w:style>
  <w:style w:type="paragraph" w:styleId="Ttulo3">
    <w:name w:val="heading 3"/>
    <w:basedOn w:val="Normal"/>
    <w:next w:val="Normal"/>
    <w:qFormat/>
    <w:rsid w:val="00F84D4B"/>
    <w:pPr>
      <w:keepNext/>
      <w:jc w:val="both"/>
      <w:outlineLvl w:val="2"/>
    </w:pPr>
    <w:rPr>
      <w:rFonts w:cs="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rsid w:val="00F84D4B"/>
    <w:pPr>
      <w:tabs>
        <w:tab w:val="left" w:pos="360"/>
      </w:tabs>
      <w:ind w:left="283"/>
      <w:jc w:val="both"/>
    </w:pPr>
    <w:rPr>
      <w:rFonts w:cs="Arial"/>
      <w:bCs/>
      <w:szCs w:val="20"/>
    </w:rPr>
  </w:style>
  <w:style w:type="table" w:styleId="Tablaconcuadrcula">
    <w:name w:val="Table Grid"/>
    <w:basedOn w:val="Tablanormal"/>
    <w:rsid w:val="00EE72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50FC9"/>
    <w:pPr>
      <w:ind w:left="720"/>
      <w:contextualSpacing/>
    </w:pPr>
  </w:style>
  <w:style w:type="paragraph" w:styleId="Textodeglobo">
    <w:name w:val="Balloon Text"/>
    <w:basedOn w:val="Normal"/>
    <w:link w:val="TextodegloboCar"/>
    <w:rsid w:val="003C0562"/>
    <w:rPr>
      <w:rFonts w:ascii="Tahoma" w:hAnsi="Tahoma" w:cs="Tahoma"/>
      <w:sz w:val="16"/>
      <w:szCs w:val="16"/>
    </w:rPr>
  </w:style>
  <w:style w:type="character" w:customStyle="1" w:styleId="TextodegloboCar">
    <w:name w:val="Texto de globo Car"/>
    <w:basedOn w:val="Fuentedeprrafopredeter"/>
    <w:link w:val="Textodeglobo"/>
    <w:rsid w:val="003C0562"/>
    <w:rPr>
      <w:rFonts w:ascii="Tahoma" w:hAnsi="Tahoma" w:cs="Tahoma"/>
      <w:sz w:val="16"/>
      <w:szCs w:val="16"/>
      <w:lang w:val="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1202</Words>
  <Characters>6615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MEMORIA DESCRIPTIVA</vt:lpstr>
    </vt:vector>
  </TitlesOfParts>
  <Company/>
  <LinksUpToDate>false</LinksUpToDate>
  <CharactersWithSpaces>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dc:title>
  <dc:subject/>
  <dc:creator>Fernando</dc:creator>
  <cp:keywords/>
  <dc:description/>
  <cp:lastModifiedBy>eric antonio tavara castillo</cp:lastModifiedBy>
  <cp:revision>7</cp:revision>
  <cp:lastPrinted>2008-06-06T05:23:00Z</cp:lastPrinted>
  <dcterms:created xsi:type="dcterms:W3CDTF">2018-04-19T19:19:00Z</dcterms:created>
  <dcterms:modified xsi:type="dcterms:W3CDTF">2018-08-17T16:39:00Z</dcterms:modified>
</cp:coreProperties>
</file>